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C492" w14:textId="77777777" w:rsidR="00DC09EE" w:rsidRDefault="00EA2C9B" w:rsidP="003B2368">
      <w:r w:rsidRPr="006B088E">
        <w:rPr>
          <w:noProof/>
        </w:rPr>
        <w:drawing>
          <wp:anchor distT="0" distB="0" distL="114300" distR="114300" simplePos="0" relativeHeight="251659264" behindDoc="0" locked="0" layoutInCell="0" allowOverlap="1" wp14:anchorId="03476953" wp14:editId="65A052F7">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14:anchorId="529BC851" wp14:editId="3D609C33">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314B" w14:textId="77777777" w:rsidR="00EA2C9B" w:rsidRPr="00EA2C9B" w:rsidRDefault="00EA2C9B" w:rsidP="00213AAE">
                            <w:pPr>
                              <w:rPr>
                                <w:rFonts w:ascii="Palatino Linotype" w:hAnsi="Palatino Linotype"/>
                              </w:rPr>
                            </w:pPr>
                          </w:p>
                          <w:p w14:paraId="7ADDDB51"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2C33A0CC"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BC851"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14:paraId="1746314B" w14:textId="77777777" w:rsidR="00EA2C9B" w:rsidRPr="00EA2C9B" w:rsidRDefault="00EA2C9B" w:rsidP="00213AAE">
                      <w:pPr>
                        <w:rPr>
                          <w:rFonts w:ascii="Palatino Linotype" w:hAnsi="Palatino Linotype"/>
                        </w:rPr>
                      </w:pPr>
                    </w:p>
                    <w:p w14:paraId="7ADDDB51"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2C33A0CC"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3E552306" wp14:editId="632D767E">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182E"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2306"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14:paraId="1AF8182E"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6227AD64" wp14:editId="2733CB91">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09154548" wp14:editId="100F9933">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4174FC4A" wp14:editId="3FFF76A7">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0186"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426333B1"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2C2E81C"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3A4F801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4FC4A"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14:paraId="19CC0186"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426333B1"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2C2E81C"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3A4F801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677C15B" wp14:editId="7B418DFB">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1CF0D2CB" wp14:editId="5DD36BEB">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2DFFCBA" wp14:editId="35EF23B1">
                <wp:simplePos x="0" y="0"/>
                <wp:positionH relativeFrom="page">
                  <wp:align>center</wp:align>
                </wp:positionH>
                <wp:positionV relativeFrom="page">
                  <wp:posOffset>8007985</wp:posOffset>
                </wp:positionV>
                <wp:extent cx="5943600" cy="1217930"/>
                <wp:effectExtent l="0"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ED1D0" w14:textId="77777777" w:rsidR="00667203" w:rsidRDefault="00667203" w:rsidP="00667203">
                            <w:pPr>
                              <w:jc w:val="center"/>
                            </w:pPr>
                          </w:p>
                          <w:p w14:paraId="5763D8C6" w14:textId="77777777" w:rsidR="00667203" w:rsidRDefault="00667203" w:rsidP="00667203">
                            <w:pPr>
                              <w:jc w:val="center"/>
                            </w:pPr>
                          </w:p>
                          <w:p w14:paraId="2C801752" w14:textId="77777777" w:rsidR="00667203" w:rsidRDefault="00667203" w:rsidP="00667203">
                            <w:pPr>
                              <w:jc w:val="center"/>
                            </w:pPr>
                          </w:p>
                          <w:p w14:paraId="490B7423" w14:textId="77777777" w:rsidR="00667203" w:rsidRDefault="00667203" w:rsidP="00667203">
                            <w:pPr>
                              <w:jc w:val="center"/>
                            </w:pPr>
                          </w:p>
                          <w:p w14:paraId="57734A44" w14:textId="77777777" w:rsidR="00667203" w:rsidRDefault="00667203" w:rsidP="00667203">
                            <w:pPr>
                              <w:jc w:val="center"/>
                            </w:pPr>
                          </w:p>
                          <w:p w14:paraId="7CF4ED96" w14:textId="77777777" w:rsidR="00667203" w:rsidRDefault="00667203" w:rsidP="00667203">
                            <w:pPr>
                              <w:jc w:val="center"/>
                            </w:pPr>
                          </w:p>
                          <w:p w14:paraId="5B4BA05B" w14:textId="77777777" w:rsidR="00667203" w:rsidRDefault="00667203" w:rsidP="00667203">
                            <w:pPr>
                              <w:jc w:val="center"/>
                            </w:pPr>
                          </w:p>
                          <w:p w14:paraId="7F53AF7A" w14:textId="77777777" w:rsidR="00667203" w:rsidRDefault="00667203" w:rsidP="00667203">
                            <w:pPr>
                              <w:jc w:val="center"/>
                            </w:pPr>
                          </w:p>
                          <w:p w14:paraId="487FD527" w14:textId="77777777" w:rsidR="00667203" w:rsidRDefault="00667203" w:rsidP="00667203">
                            <w:pPr>
                              <w:jc w:val="center"/>
                            </w:pPr>
                          </w:p>
                          <w:p w14:paraId="6B21207E" w14:textId="77777777" w:rsidR="00667203" w:rsidRDefault="00667203" w:rsidP="00667203">
                            <w:pPr>
                              <w:jc w:val="center"/>
                            </w:pPr>
                          </w:p>
                          <w:p w14:paraId="70E86E1E" w14:textId="77777777" w:rsidR="00667203" w:rsidRDefault="00667203" w:rsidP="00667203">
                            <w:pPr>
                              <w:jc w:val="center"/>
                            </w:pPr>
                          </w:p>
                          <w:p w14:paraId="1FD567EA" w14:textId="77777777" w:rsidR="00667203" w:rsidRDefault="00667203" w:rsidP="006672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FCBA" id="Rectangle 6" o:spid="_x0000_s1029"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" stroked="f">
                <v:fill color2="#e3e7de [663]" rotate="t" focus="100%" type="gradient"/>
                <v:textbox>
                  <w:txbxContent>
                    <w:p w14:paraId="361ED1D0" w14:textId="77777777" w:rsidR="00667203" w:rsidRDefault="00667203" w:rsidP="00667203">
                      <w:pPr>
                        <w:jc w:val="center"/>
                      </w:pPr>
                    </w:p>
                    <w:p w14:paraId="5763D8C6" w14:textId="77777777" w:rsidR="00667203" w:rsidRDefault="00667203" w:rsidP="00667203">
                      <w:pPr>
                        <w:jc w:val="center"/>
                      </w:pPr>
                    </w:p>
                    <w:p w14:paraId="2C801752" w14:textId="77777777" w:rsidR="00667203" w:rsidRDefault="00667203" w:rsidP="00667203">
                      <w:pPr>
                        <w:jc w:val="center"/>
                      </w:pPr>
                    </w:p>
                    <w:p w14:paraId="490B7423" w14:textId="77777777" w:rsidR="00667203" w:rsidRDefault="00667203" w:rsidP="00667203">
                      <w:pPr>
                        <w:jc w:val="center"/>
                      </w:pPr>
                    </w:p>
                    <w:p w14:paraId="57734A44" w14:textId="77777777" w:rsidR="00667203" w:rsidRDefault="00667203" w:rsidP="00667203">
                      <w:pPr>
                        <w:jc w:val="center"/>
                      </w:pPr>
                    </w:p>
                    <w:p w14:paraId="7CF4ED96" w14:textId="77777777" w:rsidR="00667203" w:rsidRDefault="00667203" w:rsidP="00667203">
                      <w:pPr>
                        <w:jc w:val="center"/>
                      </w:pPr>
                    </w:p>
                    <w:p w14:paraId="5B4BA05B" w14:textId="77777777" w:rsidR="00667203" w:rsidRDefault="00667203" w:rsidP="00667203">
                      <w:pPr>
                        <w:jc w:val="center"/>
                      </w:pPr>
                    </w:p>
                    <w:p w14:paraId="7F53AF7A" w14:textId="77777777" w:rsidR="00667203" w:rsidRDefault="00667203" w:rsidP="00667203">
                      <w:pPr>
                        <w:jc w:val="center"/>
                      </w:pPr>
                    </w:p>
                    <w:p w14:paraId="487FD527" w14:textId="77777777" w:rsidR="00667203" w:rsidRDefault="00667203" w:rsidP="00667203">
                      <w:pPr>
                        <w:jc w:val="center"/>
                      </w:pPr>
                    </w:p>
                    <w:p w14:paraId="6B21207E" w14:textId="77777777" w:rsidR="00667203" w:rsidRDefault="00667203" w:rsidP="00667203">
                      <w:pPr>
                        <w:jc w:val="center"/>
                      </w:pPr>
                    </w:p>
                    <w:p w14:paraId="70E86E1E" w14:textId="77777777" w:rsidR="00667203" w:rsidRDefault="00667203" w:rsidP="00667203">
                      <w:pPr>
                        <w:jc w:val="center"/>
                      </w:pPr>
                    </w:p>
                    <w:p w14:paraId="1FD567EA" w14:textId="77777777" w:rsidR="00667203" w:rsidRDefault="00667203" w:rsidP="00667203">
                      <w:pPr>
                        <w:jc w:val="center"/>
                      </w:pP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32391904" wp14:editId="53816E84">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14:paraId="453E0FFF" w14:textId="77777777" w:rsidR="00222523" w:rsidRDefault="00222523" w:rsidP="00222523">
      <w:pPr>
        <w:jc w:val="center"/>
        <w:rPr>
          <w:rFonts w:ascii="Palatino Linotype" w:hAnsi="Palatino Linotype"/>
          <w:b/>
          <w:sz w:val="28"/>
          <w:szCs w:val="28"/>
        </w:rPr>
      </w:pPr>
    </w:p>
    <w:p w14:paraId="78F88652" w14:textId="77777777" w:rsidR="00222523" w:rsidRDefault="00222523" w:rsidP="00222523">
      <w:pPr>
        <w:jc w:val="center"/>
        <w:rPr>
          <w:rFonts w:ascii="Palatino Linotype" w:hAnsi="Palatino Linotype"/>
          <w:b/>
          <w:sz w:val="28"/>
          <w:szCs w:val="28"/>
        </w:rPr>
      </w:pPr>
    </w:p>
    <w:p w14:paraId="7145EC13" w14:textId="77777777" w:rsidR="00222523" w:rsidRDefault="00222523" w:rsidP="00222523">
      <w:pPr>
        <w:jc w:val="center"/>
        <w:rPr>
          <w:rFonts w:ascii="Palatino Linotype" w:hAnsi="Palatino Linotype"/>
          <w:b/>
          <w:sz w:val="28"/>
          <w:szCs w:val="28"/>
        </w:rPr>
      </w:pPr>
    </w:p>
    <w:p w14:paraId="227E9183" w14:textId="72793F3B" w:rsidR="005D1066" w:rsidRDefault="009327E3" w:rsidP="00222523">
      <w:pPr>
        <w:jc w:val="center"/>
        <w:rPr>
          <w:rFonts w:ascii="Palatino Linotype" w:hAnsi="Palatino Linotype"/>
          <w:b/>
          <w:sz w:val="28"/>
          <w:szCs w:val="28"/>
        </w:rPr>
      </w:pPr>
      <w:r>
        <w:rPr>
          <w:rFonts w:ascii="Palatino Linotype" w:hAnsi="Palatino Linotype"/>
          <w:b/>
          <w:sz w:val="28"/>
          <w:szCs w:val="28"/>
        </w:rPr>
        <w:t>201</w:t>
      </w:r>
      <w:r w:rsidR="006517E9">
        <w:rPr>
          <w:rFonts w:ascii="Palatino Linotype" w:hAnsi="Palatino Linotype"/>
          <w:b/>
          <w:sz w:val="28"/>
          <w:szCs w:val="28"/>
        </w:rPr>
        <w:t>9</w:t>
      </w:r>
      <w:r w:rsidR="00222523" w:rsidRPr="00222523">
        <w:rPr>
          <w:rFonts w:ascii="Palatino Linotype" w:hAnsi="Palatino Linotype"/>
          <w:b/>
          <w:sz w:val="28"/>
          <w:szCs w:val="28"/>
        </w:rPr>
        <w:t xml:space="preserve"> County Health Rankings and Roadmaps Released</w:t>
      </w:r>
    </w:p>
    <w:p w14:paraId="6CA104C3" w14:textId="77777777" w:rsidR="00222523" w:rsidRDefault="00222523" w:rsidP="00222523">
      <w:pPr>
        <w:jc w:val="center"/>
        <w:rPr>
          <w:rFonts w:ascii="Palatino Linotype" w:hAnsi="Palatino Linotype"/>
          <w:b/>
          <w:sz w:val="28"/>
          <w:szCs w:val="28"/>
        </w:rPr>
      </w:pPr>
    </w:p>
    <w:p w14:paraId="78409330" w14:textId="4E16ABF3" w:rsidR="00222523" w:rsidRDefault="00222523" w:rsidP="00222523">
      <w:pPr>
        <w:jc w:val="both"/>
        <w:rPr>
          <w:rFonts w:ascii="Palatino Linotype" w:hAnsi="Palatino Linotype"/>
          <w:sz w:val="24"/>
        </w:rPr>
      </w:pPr>
      <w:r>
        <w:rPr>
          <w:rFonts w:ascii="Palatino Linotype" w:hAnsi="Palatino Linotype"/>
          <w:sz w:val="24"/>
        </w:rPr>
        <w:t xml:space="preserve">On </w:t>
      </w:r>
      <w:r w:rsidR="000D4291">
        <w:rPr>
          <w:rFonts w:ascii="Palatino Linotype" w:hAnsi="Palatino Linotype"/>
          <w:sz w:val="24"/>
        </w:rPr>
        <w:t>March</w:t>
      </w:r>
      <w:r w:rsidR="009327E3">
        <w:rPr>
          <w:rFonts w:ascii="Palatino Linotype" w:hAnsi="Palatino Linotype"/>
          <w:sz w:val="24"/>
        </w:rPr>
        <w:t xml:space="preserve"> 1</w:t>
      </w:r>
      <w:r w:rsidR="006517E9">
        <w:rPr>
          <w:rFonts w:ascii="Palatino Linotype" w:hAnsi="Palatino Linotype"/>
          <w:sz w:val="24"/>
        </w:rPr>
        <w:t>9</w:t>
      </w:r>
      <w:r>
        <w:rPr>
          <w:rFonts w:ascii="Palatino Linotype" w:hAnsi="Palatino Linotype"/>
          <w:sz w:val="24"/>
        </w:rPr>
        <w:t>, 201</w:t>
      </w:r>
      <w:r w:rsidR="006517E9">
        <w:rPr>
          <w:rFonts w:ascii="Palatino Linotype" w:hAnsi="Palatino Linotype"/>
          <w:sz w:val="24"/>
        </w:rPr>
        <w:t>9</w:t>
      </w:r>
      <w:r w:rsidR="0091125D">
        <w:rPr>
          <w:rFonts w:ascii="Palatino Linotype" w:hAnsi="Palatino Linotype"/>
          <w:sz w:val="24"/>
        </w:rPr>
        <w:t xml:space="preserve"> the 201</w:t>
      </w:r>
      <w:r w:rsidR="00026C73">
        <w:rPr>
          <w:rFonts w:ascii="Palatino Linotype" w:hAnsi="Palatino Linotype"/>
          <w:sz w:val="24"/>
        </w:rPr>
        <w:t>9</w:t>
      </w:r>
      <w:r>
        <w:rPr>
          <w:rFonts w:ascii="Palatino Linotype" w:hAnsi="Palatino Linotype"/>
          <w:sz w:val="24"/>
        </w:rPr>
        <w:t xml:space="preserve"> County Health Rankings and Roadmaps were officially released.</w:t>
      </w:r>
      <w:r w:rsidR="00DE4B15">
        <w:rPr>
          <w:rFonts w:ascii="Palatino Linotype" w:hAnsi="Palatino Linotype"/>
          <w:sz w:val="24"/>
        </w:rPr>
        <w:t xml:space="preserve"> </w:t>
      </w:r>
      <w:r w:rsidR="009327E3">
        <w:rPr>
          <w:rFonts w:ascii="Palatino Linotype" w:hAnsi="Palatino Linotype"/>
          <w:sz w:val="24"/>
        </w:rPr>
        <w:t>“</w:t>
      </w:r>
      <w:r w:rsidR="009327E3" w:rsidRPr="009327E3">
        <w:rPr>
          <w:rFonts w:ascii="Palatino Linotype" w:hAnsi="Palatino Linotype"/>
          <w:sz w:val="24"/>
        </w:rPr>
        <w:t>The County Health Rankings &amp; Roadmaps program is a collaboration between the Robert Wood Johnson Foundation and the University of Wisconsin Population Health Institute.</w:t>
      </w:r>
      <w:r w:rsidR="009327E3">
        <w:rPr>
          <w:rFonts w:ascii="Palatino Linotype" w:hAnsi="Palatino Linotype"/>
          <w:sz w:val="24"/>
        </w:rPr>
        <w:t xml:space="preserve"> </w:t>
      </w:r>
      <w:r w:rsidR="009327E3" w:rsidRPr="009327E3">
        <w:rPr>
          <w:rFonts w:ascii="Palatino Linotype" w:hAnsi="Palatino Linotype"/>
          <w:sz w:val="24"/>
        </w:rPr>
        <w:t xml:space="preserve">The annual County Health Rankings measure vital health factors, including high school graduation rates, obesity, smoking, unemployment, access to healthy foods, the quality of air and water, income inequality, and teen births in nearly every county in America. The </w:t>
      </w:r>
      <w:r w:rsidR="006517E9">
        <w:rPr>
          <w:rFonts w:ascii="Palatino Linotype" w:hAnsi="Palatino Linotype"/>
          <w:sz w:val="24"/>
        </w:rPr>
        <w:t>A</w:t>
      </w:r>
      <w:r w:rsidR="009327E3" w:rsidRPr="009327E3">
        <w:rPr>
          <w:rFonts w:ascii="Palatino Linotype" w:hAnsi="Palatino Linotype"/>
          <w:sz w:val="24"/>
        </w:rPr>
        <w:t xml:space="preserve">nnual Rankings provide a revealing snapshot of how health is influenced by where we live, learn, work and play. They provide a starting </w:t>
      </w:r>
      <w:r w:rsidR="009327E3">
        <w:rPr>
          <w:rFonts w:ascii="Palatino Linotype" w:hAnsi="Palatino Linotype"/>
          <w:sz w:val="24"/>
        </w:rPr>
        <w:t xml:space="preserve">point for change in communities.” (Countyhealthrankings.org) </w:t>
      </w:r>
      <w:r>
        <w:rPr>
          <w:rFonts w:ascii="Palatino Linotype" w:hAnsi="Palatino Linotype"/>
          <w:sz w:val="24"/>
        </w:rPr>
        <w:t xml:space="preserve">Tuscarawas County ranked </w:t>
      </w:r>
      <w:r w:rsidR="009327E3">
        <w:rPr>
          <w:rFonts w:ascii="Palatino Linotype" w:hAnsi="Palatino Linotype"/>
          <w:sz w:val="24"/>
        </w:rPr>
        <w:t>2</w:t>
      </w:r>
      <w:r w:rsidR="006517E9">
        <w:rPr>
          <w:rFonts w:ascii="Palatino Linotype" w:hAnsi="Palatino Linotype"/>
          <w:sz w:val="24"/>
        </w:rPr>
        <w:t>3</w:t>
      </w:r>
      <w:r>
        <w:rPr>
          <w:rFonts w:ascii="Palatino Linotype" w:hAnsi="Palatino Linotype"/>
          <w:sz w:val="24"/>
        </w:rPr>
        <w:t xml:space="preserve"> out of 88 Counties in Ohio for overall health outcomes.  A</w:t>
      </w:r>
      <w:r w:rsidR="00667203">
        <w:rPr>
          <w:rFonts w:ascii="Palatino Linotype" w:hAnsi="Palatino Linotype"/>
          <w:sz w:val="24"/>
        </w:rPr>
        <w:t xml:space="preserve"> </w:t>
      </w:r>
      <w:proofErr w:type="gramStart"/>
      <w:r w:rsidR="006517E9">
        <w:rPr>
          <w:rFonts w:ascii="Palatino Linotype" w:hAnsi="Palatino Linotype"/>
          <w:sz w:val="24"/>
        </w:rPr>
        <w:t>five</w:t>
      </w:r>
      <w:r>
        <w:rPr>
          <w:rFonts w:ascii="Palatino Linotype" w:hAnsi="Palatino Linotype"/>
          <w:sz w:val="24"/>
        </w:rPr>
        <w:t xml:space="preserve"> year</w:t>
      </w:r>
      <w:proofErr w:type="gramEnd"/>
      <w:r>
        <w:rPr>
          <w:rFonts w:ascii="Palatino Linotype" w:hAnsi="Palatino Linotype"/>
          <w:sz w:val="24"/>
        </w:rPr>
        <w:t xml:space="preserve"> snapshot of trends for overall health outcome </w:t>
      </w:r>
      <w:r w:rsidR="00455CA5">
        <w:rPr>
          <w:rFonts w:ascii="Palatino Linotype" w:hAnsi="Palatino Linotype"/>
          <w:sz w:val="24"/>
        </w:rPr>
        <w:t xml:space="preserve">and health factors </w:t>
      </w:r>
      <w:r>
        <w:rPr>
          <w:rFonts w:ascii="Palatino Linotype" w:hAnsi="Palatino Linotype"/>
          <w:sz w:val="24"/>
        </w:rPr>
        <w:t>rankings for Tuscarawas County can be seen below.  It is worth noting that t</w:t>
      </w:r>
      <w:r w:rsidR="00667203">
        <w:rPr>
          <w:rFonts w:ascii="Palatino Linotype" w:hAnsi="Palatino Linotype"/>
          <w:sz w:val="24"/>
        </w:rPr>
        <w:t>he lower the ranking the better.</w:t>
      </w:r>
    </w:p>
    <w:p w14:paraId="605B9D6F" w14:textId="77777777" w:rsidR="00667203" w:rsidRDefault="00667203" w:rsidP="00222523">
      <w:pPr>
        <w:jc w:val="both"/>
        <w:rPr>
          <w:rFonts w:ascii="Palatino Linotype" w:hAnsi="Palatino Linotype"/>
          <w:sz w:val="24"/>
        </w:rPr>
      </w:pPr>
    </w:p>
    <w:p w14:paraId="35B3950D" w14:textId="77777777" w:rsidR="00222523" w:rsidRDefault="00222523" w:rsidP="00222523">
      <w:pPr>
        <w:jc w:val="both"/>
        <w:rPr>
          <w:rFonts w:ascii="Palatino Linotype" w:hAnsi="Palatino Linotype"/>
          <w:sz w:val="24"/>
        </w:rPr>
      </w:pPr>
      <w:r>
        <w:rPr>
          <w:rFonts w:ascii="Palatino Linotype" w:hAnsi="Palatino Linotype"/>
          <w:noProof/>
          <w:sz w:val="24"/>
        </w:rPr>
        <w:drawing>
          <wp:inline distT="0" distB="0" distL="0" distR="0" wp14:anchorId="2779A368" wp14:editId="40AD1C8C">
            <wp:extent cx="5876925" cy="28575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69D283" w14:textId="4C2D074B" w:rsidR="00455CA5" w:rsidRDefault="00667203" w:rsidP="00667203">
      <w:pPr>
        <w:jc w:val="both"/>
        <w:rPr>
          <w:rFonts w:ascii="Palatino Linotype" w:hAnsi="Palatino Linotype"/>
          <w:sz w:val="24"/>
        </w:rPr>
      </w:pPr>
      <w:r>
        <w:rPr>
          <w:rFonts w:ascii="Palatino Linotype" w:hAnsi="Palatino Linotype"/>
          <w:sz w:val="24"/>
        </w:rPr>
        <w:t xml:space="preserve">Health outcomes measure </w:t>
      </w:r>
      <w:r w:rsidRPr="00667203">
        <w:rPr>
          <w:rFonts w:ascii="Palatino Linotype" w:hAnsi="Palatino Linotype"/>
          <w:sz w:val="24"/>
        </w:rPr>
        <w:t>how long people live and how healthy people</w:t>
      </w:r>
      <w:r w:rsidR="00455CA5">
        <w:rPr>
          <w:rFonts w:ascii="Palatino Linotype" w:hAnsi="Palatino Linotype"/>
          <w:sz w:val="24"/>
        </w:rPr>
        <w:t xml:space="preserve"> f</w:t>
      </w:r>
      <w:r w:rsidRPr="00667203">
        <w:rPr>
          <w:rFonts w:ascii="Palatino Linotype" w:hAnsi="Palatino Linotype"/>
          <w:sz w:val="24"/>
        </w:rPr>
        <w:t>eel</w:t>
      </w:r>
      <w:r>
        <w:rPr>
          <w:rFonts w:ascii="Palatino Linotype" w:hAnsi="Palatino Linotype"/>
          <w:sz w:val="24"/>
        </w:rPr>
        <w:t xml:space="preserve">.  </w:t>
      </w:r>
    </w:p>
    <w:p w14:paraId="07BDCDAD" w14:textId="77777777" w:rsidR="00455CA5" w:rsidRDefault="00455CA5" w:rsidP="00667203">
      <w:pPr>
        <w:jc w:val="both"/>
        <w:rPr>
          <w:rFonts w:ascii="Palatino Linotype" w:hAnsi="Palatino Linotype"/>
          <w:sz w:val="24"/>
        </w:rPr>
      </w:pPr>
    </w:p>
    <w:p w14:paraId="17881069" w14:textId="77777777" w:rsidR="00455CA5" w:rsidRDefault="00455CA5" w:rsidP="00667203">
      <w:pPr>
        <w:jc w:val="both"/>
        <w:rPr>
          <w:rFonts w:ascii="Palatino Linotype" w:hAnsi="Palatino Linotype"/>
          <w:sz w:val="24"/>
        </w:rPr>
      </w:pPr>
      <w:r>
        <w:rPr>
          <w:rFonts w:ascii="Palatino Linotype" w:hAnsi="Palatino Linotype"/>
          <w:noProof/>
          <w:sz w:val="24"/>
        </w:rPr>
        <w:lastRenderedPageBreak/>
        <w:drawing>
          <wp:inline distT="0" distB="0" distL="0" distR="0" wp14:anchorId="1574B751" wp14:editId="2DA07861">
            <wp:extent cx="6248400" cy="35147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EA4636" w14:textId="0036E79A" w:rsidR="00222523" w:rsidRDefault="00455CA5" w:rsidP="00667203">
      <w:pPr>
        <w:jc w:val="both"/>
        <w:rPr>
          <w:rFonts w:ascii="Palatino Linotype" w:hAnsi="Palatino Linotype"/>
          <w:sz w:val="24"/>
        </w:rPr>
      </w:pPr>
      <w:r>
        <w:rPr>
          <w:rFonts w:ascii="Palatino Linotype" w:hAnsi="Palatino Linotype"/>
          <w:sz w:val="24"/>
        </w:rPr>
        <w:t xml:space="preserve">Health factors represent the focus areas that drive how long and how well we live.  These include health behaviors, clinical care, social and economic factors, and the physical environment. </w:t>
      </w:r>
    </w:p>
    <w:p w14:paraId="0B947D0E" w14:textId="77777777" w:rsidR="00222523" w:rsidRDefault="00222523" w:rsidP="00222523">
      <w:pPr>
        <w:jc w:val="both"/>
        <w:rPr>
          <w:rFonts w:ascii="Palatino Linotype" w:hAnsi="Palatino Linotype"/>
          <w:sz w:val="24"/>
        </w:rPr>
      </w:pPr>
    </w:p>
    <w:p w14:paraId="5A8E4A17" w14:textId="77777777" w:rsidR="00222523" w:rsidRDefault="00222523" w:rsidP="00222523">
      <w:pPr>
        <w:jc w:val="both"/>
        <w:rPr>
          <w:rFonts w:ascii="Palatino Linotype" w:hAnsi="Palatino Linotype"/>
          <w:sz w:val="24"/>
        </w:rPr>
      </w:pPr>
      <w:r>
        <w:rPr>
          <w:rFonts w:ascii="Palatino Linotype" w:hAnsi="Palatino Linotype"/>
          <w:noProof/>
          <w:sz w:val="24"/>
        </w:rPr>
        <w:drawing>
          <wp:inline distT="0" distB="0" distL="0" distR="0" wp14:anchorId="30EE5A20" wp14:editId="65D3DFE5">
            <wp:extent cx="6267450" cy="3429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BD438D" w14:textId="77777777" w:rsidR="00222523" w:rsidRDefault="00222523" w:rsidP="00222523">
      <w:pPr>
        <w:jc w:val="both"/>
        <w:rPr>
          <w:rFonts w:ascii="Palatino Linotype" w:hAnsi="Palatino Linotype"/>
          <w:sz w:val="24"/>
        </w:rPr>
      </w:pPr>
    </w:p>
    <w:p w14:paraId="3AD540FB" w14:textId="554C5C47" w:rsidR="00222523" w:rsidRDefault="009327E3" w:rsidP="00222523">
      <w:pPr>
        <w:jc w:val="both"/>
        <w:rPr>
          <w:rFonts w:ascii="Palatino Linotype" w:hAnsi="Palatino Linotype"/>
          <w:sz w:val="24"/>
        </w:rPr>
      </w:pPr>
      <w:r>
        <w:rPr>
          <w:rFonts w:ascii="Palatino Linotype" w:hAnsi="Palatino Linotype"/>
          <w:sz w:val="24"/>
        </w:rPr>
        <w:lastRenderedPageBreak/>
        <w:t>In 201</w:t>
      </w:r>
      <w:r w:rsidR="006517E9">
        <w:rPr>
          <w:rFonts w:ascii="Palatino Linotype" w:hAnsi="Palatino Linotype"/>
          <w:sz w:val="24"/>
        </w:rPr>
        <w:t>9</w:t>
      </w:r>
      <w:r w:rsidR="00420DE9">
        <w:rPr>
          <w:rFonts w:ascii="Palatino Linotype" w:hAnsi="Palatino Linotype"/>
          <w:sz w:val="24"/>
        </w:rPr>
        <w:t xml:space="preserve">, Tuscarawas County ranked the </w:t>
      </w:r>
      <w:r w:rsidR="00E60C7A">
        <w:rPr>
          <w:rFonts w:ascii="Palatino Linotype" w:hAnsi="Palatino Linotype"/>
          <w:sz w:val="24"/>
        </w:rPr>
        <w:t>poorest</w:t>
      </w:r>
      <w:r w:rsidR="00420DE9">
        <w:rPr>
          <w:rFonts w:ascii="Palatino Linotype" w:hAnsi="Palatino Linotype"/>
          <w:sz w:val="24"/>
        </w:rPr>
        <w:t xml:space="preserve"> in </w:t>
      </w:r>
      <w:r>
        <w:rPr>
          <w:rFonts w:ascii="Palatino Linotype" w:hAnsi="Palatino Linotype"/>
          <w:sz w:val="24"/>
        </w:rPr>
        <w:t xml:space="preserve">clinical care at </w:t>
      </w:r>
      <w:r w:rsidR="006517E9">
        <w:rPr>
          <w:rFonts w:ascii="Palatino Linotype" w:hAnsi="Palatino Linotype"/>
          <w:sz w:val="24"/>
        </w:rPr>
        <w:t>73</w:t>
      </w:r>
      <w:r>
        <w:rPr>
          <w:rFonts w:ascii="Palatino Linotype" w:hAnsi="Palatino Linotype"/>
          <w:sz w:val="24"/>
        </w:rPr>
        <w:t xml:space="preserve"> out of 88 Counties in Ohio.  </w:t>
      </w:r>
      <w:r w:rsidR="00420DE9">
        <w:rPr>
          <w:rFonts w:ascii="Palatino Linotype" w:hAnsi="Palatino Linotype"/>
          <w:sz w:val="24"/>
        </w:rPr>
        <w:t xml:space="preserve"> </w:t>
      </w:r>
      <w:r>
        <w:rPr>
          <w:rFonts w:ascii="Palatino Linotype" w:hAnsi="Palatino Linotype"/>
          <w:sz w:val="24"/>
        </w:rPr>
        <w:t xml:space="preserve">This </w:t>
      </w:r>
      <w:r w:rsidR="006517E9">
        <w:rPr>
          <w:rFonts w:ascii="Palatino Linotype" w:hAnsi="Palatino Linotype"/>
          <w:sz w:val="24"/>
        </w:rPr>
        <w:t>is the worst ranking Tuscarawas County has received in a five-year period in any category</w:t>
      </w:r>
      <w:r>
        <w:rPr>
          <w:rFonts w:ascii="Palatino Linotype" w:hAnsi="Palatino Linotype"/>
          <w:sz w:val="24"/>
        </w:rPr>
        <w:t xml:space="preserve">.  Tuscarawas County saw improved rankings in </w:t>
      </w:r>
      <w:r w:rsidR="006517E9">
        <w:rPr>
          <w:rFonts w:ascii="Palatino Linotype" w:hAnsi="Palatino Linotype"/>
          <w:sz w:val="24"/>
        </w:rPr>
        <w:t xml:space="preserve">health behaviors, physical environment and quality of life, however received a worst ranking in social and economical factors. </w:t>
      </w:r>
    </w:p>
    <w:p w14:paraId="222A9EF9" w14:textId="77777777" w:rsidR="00420DE9" w:rsidRDefault="00420DE9" w:rsidP="00222523">
      <w:pPr>
        <w:jc w:val="both"/>
        <w:rPr>
          <w:rFonts w:ascii="Palatino Linotype" w:hAnsi="Palatino Linotype"/>
          <w:sz w:val="24"/>
        </w:rPr>
      </w:pPr>
    </w:p>
    <w:p w14:paraId="58217C5D" w14:textId="5643E149" w:rsidR="00455CA5" w:rsidRPr="00455CA5" w:rsidRDefault="00455CA5" w:rsidP="00455CA5">
      <w:pPr>
        <w:jc w:val="both"/>
        <w:rPr>
          <w:rFonts w:ascii="Palatino Linotype" w:hAnsi="Palatino Linotype"/>
          <w:b/>
          <w:sz w:val="24"/>
        </w:rPr>
      </w:pPr>
      <w:bookmarkStart w:id="0" w:name="_GoBack"/>
      <w:r w:rsidRPr="00455CA5">
        <w:rPr>
          <w:rFonts w:ascii="Palatino Linotype" w:hAnsi="Palatino Linotype"/>
          <w:b/>
          <w:sz w:val="24"/>
        </w:rPr>
        <w:t>Clinical Care in Tuscarawas County – 201</w:t>
      </w:r>
      <w:r w:rsidR="006517E9">
        <w:rPr>
          <w:rFonts w:ascii="Palatino Linotype" w:hAnsi="Palatino Linotype"/>
          <w:b/>
          <w:sz w:val="24"/>
        </w:rPr>
        <w:t>9</w:t>
      </w:r>
      <w:r w:rsidRPr="00455CA5">
        <w:rPr>
          <w:rFonts w:ascii="Palatino Linotype" w:hAnsi="Palatino Linotype"/>
          <w:b/>
          <w:sz w:val="24"/>
        </w:rPr>
        <w:t xml:space="preserve"> </w:t>
      </w:r>
      <w:r w:rsidR="006517E9">
        <w:rPr>
          <w:rFonts w:ascii="Palatino Linotype" w:hAnsi="Palatino Linotype"/>
          <w:b/>
          <w:sz w:val="24"/>
        </w:rPr>
        <w:t>73</w:t>
      </w:r>
      <w:r w:rsidRPr="00455CA5">
        <w:rPr>
          <w:rFonts w:ascii="Palatino Linotype" w:hAnsi="Palatino Linotype"/>
          <w:b/>
          <w:sz w:val="24"/>
        </w:rPr>
        <w:t xml:space="preserve">/88 </w:t>
      </w:r>
    </w:p>
    <w:p w14:paraId="17ACE7AF" w14:textId="77777777" w:rsidR="00455CA5" w:rsidRPr="00455CA5" w:rsidRDefault="00455CA5" w:rsidP="00455CA5">
      <w:pPr>
        <w:jc w:val="both"/>
        <w:rPr>
          <w:rFonts w:ascii="Palatino Linotype" w:hAnsi="Palatino Linotype"/>
          <w:b/>
          <w:sz w:val="24"/>
        </w:rPr>
      </w:pPr>
    </w:p>
    <w:p w14:paraId="5F40EDA1" w14:textId="13737844" w:rsidR="00455CA5" w:rsidRDefault="006517E9" w:rsidP="00455CA5">
      <w:pPr>
        <w:jc w:val="both"/>
        <w:rPr>
          <w:rFonts w:ascii="Palatino Linotype" w:hAnsi="Palatino Linotype"/>
          <w:sz w:val="24"/>
        </w:rPr>
      </w:pPr>
      <w:r>
        <w:rPr>
          <w:rFonts w:ascii="Palatino Linotype" w:hAnsi="Palatino Linotype"/>
          <w:sz w:val="24"/>
        </w:rPr>
        <w:t>8</w:t>
      </w:r>
      <w:r w:rsidR="00455CA5" w:rsidRPr="00455CA5">
        <w:rPr>
          <w:rFonts w:ascii="Palatino Linotype" w:hAnsi="Palatino Linotype"/>
          <w:sz w:val="24"/>
        </w:rPr>
        <w:t>% of the population in Tuscarawas County remained uninsured, this is an improvement of 12% from 2017</w:t>
      </w:r>
      <w:r>
        <w:rPr>
          <w:rFonts w:ascii="Palatino Linotype" w:hAnsi="Palatino Linotype"/>
          <w:sz w:val="24"/>
        </w:rPr>
        <w:t xml:space="preserve"> and 9% in 2018</w:t>
      </w:r>
      <w:r w:rsidR="00455CA5" w:rsidRPr="00455CA5">
        <w:rPr>
          <w:rFonts w:ascii="Palatino Linotype" w:hAnsi="Palatino Linotype"/>
          <w:sz w:val="24"/>
        </w:rPr>
        <w:t xml:space="preserve">.  See the chart below for provider information per every resident. </w:t>
      </w:r>
    </w:p>
    <w:p w14:paraId="58E91726" w14:textId="77777777" w:rsidR="00455CA5" w:rsidRPr="00455CA5" w:rsidRDefault="00455CA5" w:rsidP="00455CA5">
      <w:pPr>
        <w:jc w:val="both"/>
        <w:rPr>
          <w:rFonts w:ascii="Palatino Linotype" w:hAnsi="Palatino Linotype"/>
          <w:sz w:val="24"/>
        </w:rPr>
      </w:pPr>
    </w:p>
    <w:tbl>
      <w:tblPr>
        <w:tblStyle w:val="TableGrid"/>
        <w:tblW w:w="0" w:type="auto"/>
        <w:tblLook w:val="04A0" w:firstRow="1" w:lastRow="0" w:firstColumn="1" w:lastColumn="0" w:noHBand="0" w:noVBand="1"/>
      </w:tblPr>
      <w:tblGrid>
        <w:gridCol w:w="2337"/>
        <w:gridCol w:w="2337"/>
        <w:gridCol w:w="2338"/>
        <w:gridCol w:w="2338"/>
      </w:tblGrid>
      <w:tr w:rsidR="00455CA5" w:rsidRPr="00455CA5" w14:paraId="3C83AA36" w14:textId="77777777" w:rsidTr="006A27A9">
        <w:tc>
          <w:tcPr>
            <w:tcW w:w="2337" w:type="dxa"/>
          </w:tcPr>
          <w:p w14:paraId="0129E899"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Year</w:t>
            </w:r>
          </w:p>
        </w:tc>
        <w:tc>
          <w:tcPr>
            <w:tcW w:w="2337" w:type="dxa"/>
          </w:tcPr>
          <w:p w14:paraId="3FCCD640" w14:textId="77777777" w:rsidR="00455CA5" w:rsidRPr="00455CA5" w:rsidRDefault="00455CA5" w:rsidP="006517E9">
            <w:pPr>
              <w:rPr>
                <w:rFonts w:ascii="Palatino Linotype" w:hAnsi="Palatino Linotype"/>
                <w:sz w:val="24"/>
              </w:rPr>
            </w:pPr>
            <w:r w:rsidRPr="00455CA5">
              <w:rPr>
                <w:rFonts w:ascii="Palatino Linotype" w:hAnsi="Palatino Linotype"/>
                <w:sz w:val="24"/>
              </w:rPr>
              <w:t>Primary Care Physicians</w:t>
            </w:r>
          </w:p>
        </w:tc>
        <w:tc>
          <w:tcPr>
            <w:tcW w:w="2338" w:type="dxa"/>
          </w:tcPr>
          <w:p w14:paraId="30443696" w14:textId="77777777" w:rsidR="00455CA5" w:rsidRPr="00455CA5" w:rsidRDefault="00455CA5" w:rsidP="006517E9">
            <w:pPr>
              <w:rPr>
                <w:rFonts w:ascii="Palatino Linotype" w:hAnsi="Palatino Linotype"/>
                <w:sz w:val="24"/>
              </w:rPr>
            </w:pPr>
            <w:r w:rsidRPr="00455CA5">
              <w:rPr>
                <w:rFonts w:ascii="Palatino Linotype" w:hAnsi="Palatino Linotype"/>
                <w:sz w:val="24"/>
              </w:rPr>
              <w:t>Dentists</w:t>
            </w:r>
          </w:p>
        </w:tc>
        <w:tc>
          <w:tcPr>
            <w:tcW w:w="2338" w:type="dxa"/>
          </w:tcPr>
          <w:p w14:paraId="43EED58F" w14:textId="77777777" w:rsidR="00455CA5" w:rsidRPr="00455CA5" w:rsidRDefault="00455CA5" w:rsidP="006517E9">
            <w:pPr>
              <w:rPr>
                <w:rFonts w:ascii="Palatino Linotype" w:hAnsi="Palatino Linotype"/>
                <w:sz w:val="24"/>
              </w:rPr>
            </w:pPr>
            <w:r w:rsidRPr="00455CA5">
              <w:rPr>
                <w:rFonts w:ascii="Palatino Linotype" w:hAnsi="Palatino Linotype"/>
                <w:sz w:val="24"/>
              </w:rPr>
              <w:t>Mental Health Providers</w:t>
            </w:r>
          </w:p>
        </w:tc>
      </w:tr>
      <w:tr w:rsidR="006517E9" w:rsidRPr="00455CA5" w14:paraId="2F167A93" w14:textId="77777777" w:rsidTr="006A27A9">
        <w:tc>
          <w:tcPr>
            <w:tcW w:w="2337" w:type="dxa"/>
          </w:tcPr>
          <w:p w14:paraId="6F7FE560" w14:textId="0AC47652" w:rsidR="006517E9" w:rsidRPr="00455CA5" w:rsidRDefault="006517E9" w:rsidP="00455CA5">
            <w:pPr>
              <w:jc w:val="both"/>
              <w:rPr>
                <w:rFonts w:ascii="Palatino Linotype" w:hAnsi="Palatino Linotype"/>
                <w:sz w:val="24"/>
              </w:rPr>
            </w:pPr>
            <w:r>
              <w:rPr>
                <w:rFonts w:ascii="Palatino Linotype" w:hAnsi="Palatino Linotype"/>
                <w:sz w:val="24"/>
              </w:rPr>
              <w:t>2019</w:t>
            </w:r>
          </w:p>
        </w:tc>
        <w:tc>
          <w:tcPr>
            <w:tcW w:w="2337" w:type="dxa"/>
          </w:tcPr>
          <w:p w14:paraId="188F7908" w14:textId="469F2087" w:rsidR="006517E9" w:rsidRPr="00455CA5" w:rsidRDefault="006517E9" w:rsidP="006517E9">
            <w:pPr>
              <w:rPr>
                <w:rFonts w:ascii="Palatino Linotype" w:hAnsi="Palatino Linotype"/>
                <w:sz w:val="24"/>
              </w:rPr>
            </w:pPr>
            <w:r>
              <w:rPr>
                <w:rFonts w:ascii="Palatino Linotype" w:hAnsi="Palatino Linotype"/>
                <w:sz w:val="24"/>
              </w:rPr>
              <w:t>2</w:t>
            </w:r>
            <w:r w:rsidR="00B76202">
              <w:rPr>
                <w:rFonts w:ascii="Palatino Linotype" w:hAnsi="Palatino Linotype"/>
                <w:sz w:val="24"/>
              </w:rPr>
              <w:t>,</w:t>
            </w:r>
            <w:r>
              <w:rPr>
                <w:rFonts w:ascii="Palatino Linotype" w:hAnsi="Palatino Linotype"/>
                <w:sz w:val="24"/>
              </w:rPr>
              <w:t>370</w:t>
            </w:r>
            <w:r w:rsidR="00B76202">
              <w:rPr>
                <w:rFonts w:ascii="Palatino Linotype" w:hAnsi="Palatino Linotype"/>
                <w:sz w:val="24"/>
              </w:rPr>
              <w:t>:1</w:t>
            </w:r>
          </w:p>
        </w:tc>
        <w:tc>
          <w:tcPr>
            <w:tcW w:w="2338" w:type="dxa"/>
          </w:tcPr>
          <w:p w14:paraId="5322E3C6" w14:textId="6632E86C" w:rsidR="006517E9" w:rsidRPr="00455CA5" w:rsidRDefault="00B76202" w:rsidP="006517E9">
            <w:pPr>
              <w:rPr>
                <w:rFonts w:ascii="Palatino Linotype" w:hAnsi="Palatino Linotype"/>
                <w:sz w:val="24"/>
              </w:rPr>
            </w:pPr>
            <w:r>
              <w:rPr>
                <w:rFonts w:ascii="Palatino Linotype" w:hAnsi="Palatino Linotype"/>
                <w:sz w:val="24"/>
              </w:rPr>
              <w:t>2,710:1</w:t>
            </w:r>
          </w:p>
        </w:tc>
        <w:tc>
          <w:tcPr>
            <w:tcW w:w="2338" w:type="dxa"/>
          </w:tcPr>
          <w:p w14:paraId="7C8901C9" w14:textId="2B26A354" w:rsidR="006517E9" w:rsidRPr="00455CA5" w:rsidRDefault="00B76202" w:rsidP="006517E9">
            <w:pPr>
              <w:rPr>
                <w:rFonts w:ascii="Palatino Linotype" w:hAnsi="Palatino Linotype"/>
                <w:sz w:val="24"/>
              </w:rPr>
            </w:pPr>
            <w:r>
              <w:rPr>
                <w:rFonts w:ascii="Palatino Linotype" w:hAnsi="Palatino Linotype"/>
                <w:sz w:val="24"/>
              </w:rPr>
              <w:t>720:1</w:t>
            </w:r>
          </w:p>
        </w:tc>
      </w:tr>
      <w:tr w:rsidR="00455CA5" w:rsidRPr="00455CA5" w14:paraId="7616873B" w14:textId="77777777" w:rsidTr="006A27A9">
        <w:tc>
          <w:tcPr>
            <w:tcW w:w="2337" w:type="dxa"/>
          </w:tcPr>
          <w:p w14:paraId="2225BC99"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2018</w:t>
            </w:r>
          </w:p>
        </w:tc>
        <w:tc>
          <w:tcPr>
            <w:tcW w:w="2337" w:type="dxa"/>
          </w:tcPr>
          <w:p w14:paraId="1CC11167"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2,450:1</w:t>
            </w:r>
          </w:p>
        </w:tc>
        <w:tc>
          <w:tcPr>
            <w:tcW w:w="2338" w:type="dxa"/>
          </w:tcPr>
          <w:p w14:paraId="35C54B66"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2,800:1</w:t>
            </w:r>
          </w:p>
        </w:tc>
        <w:tc>
          <w:tcPr>
            <w:tcW w:w="2338" w:type="dxa"/>
          </w:tcPr>
          <w:p w14:paraId="6CEA5D9F"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840:1</w:t>
            </w:r>
          </w:p>
        </w:tc>
      </w:tr>
      <w:tr w:rsidR="00455CA5" w:rsidRPr="00455CA5" w14:paraId="38880674" w14:textId="77777777" w:rsidTr="006A27A9">
        <w:tc>
          <w:tcPr>
            <w:tcW w:w="2337" w:type="dxa"/>
          </w:tcPr>
          <w:p w14:paraId="594EE6FB"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2017</w:t>
            </w:r>
          </w:p>
        </w:tc>
        <w:tc>
          <w:tcPr>
            <w:tcW w:w="2337" w:type="dxa"/>
          </w:tcPr>
          <w:p w14:paraId="43001176"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2,510:1</w:t>
            </w:r>
          </w:p>
        </w:tc>
        <w:tc>
          <w:tcPr>
            <w:tcW w:w="2338" w:type="dxa"/>
          </w:tcPr>
          <w:p w14:paraId="74AAB361"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3,000:1</w:t>
            </w:r>
          </w:p>
        </w:tc>
        <w:tc>
          <w:tcPr>
            <w:tcW w:w="2338" w:type="dxa"/>
          </w:tcPr>
          <w:p w14:paraId="53B0966F"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930:1</w:t>
            </w:r>
          </w:p>
        </w:tc>
      </w:tr>
      <w:tr w:rsidR="00455CA5" w:rsidRPr="00455CA5" w14:paraId="2304429F" w14:textId="77777777" w:rsidTr="006A27A9">
        <w:tc>
          <w:tcPr>
            <w:tcW w:w="2337" w:type="dxa"/>
          </w:tcPr>
          <w:p w14:paraId="556C59B8"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2016</w:t>
            </w:r>
          </w:p>
        </w:tc>
        <w:tc>
          <w:tcPr>
            <w:tcW w:w="2337" w:type="dxa"/>
          </w:tcPr>
          <w:p w14:paraId="38BACFEB"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2,320:1</w:t>
            </w:r>
          </w:p>
        </w:tc>
        <w:tc>
          <w:tcPr>
            <w:tcW w:w="2338" w:type="dxa"/>
          </w:tcPr>
          <w:p w14:paraId="71C74FAC"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2,990:1</w:t>
            </w:r>
          </w:p>
        </w:tc>
        <w:tc>
          <w:tcPr>
            <w:tcW w:w="2338" w:type="dxa"/>
          </w:tcPr>
          <w:p w14:paraId="06486982"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1,030:1</w:t>
            </w:r>
          </w:p>
        </w:tc>
      </w:tr>
      <w:tr w:rsidR="00455CA5" w:rsidRPr="00455CA5" w14:paraId="016075DF" w14:textId="77777777" w:rsidTr="006A27A9">
        <w:tc>
          <w:tcPr>
            <w:tcW w:w="2337" w:type="dxa"/>
          </w:tcPr>
          <w:p w14:paraId="757C8F8C"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2015</w:t>
            </w:r>
          </w:p>
        </w:tc>
        <w:tc>
          <w:tcPr>
            <w:tcW w:w="2337" w:type="dxa"/>
          </w:tcPr>
          <w:p w14:paraId="469BDA21"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2,200:1</w:t>
            </w:r>
          </w:p>
        </w:tc>
        <w:tc>
          <w:tcPr>
            <w:tcW w:w="2338" w:type="dxa"/>
          </w:tcPr>
          <w:p w14:paraId="640C0FF5"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2,989:1</w:t>
            </w:r>
          </w:p>
        </w:tc>
        <w:tc>
          <w:tcPr>
            <w:tcW w:w="2338" w:type="dxa"/>
          </w:tcPr>
          <w:p w14:paraId="3DCD2064" w14:textId="77777777" w:rsidR="00455CA5" w:rsidRPr="00455CA5" w:rsidRDefault="00455CA5" w:rsidP="00455CA5">
            <w:pPr>
              <w:jc w:val="both"/>
              <w:rPr>
                <w:rFonts w:ascii="Palatino Linotype" w:hAnsi="Palatino Linotype"/>
                <w:sz w:val="24"/>
              </w:rPr>
            </w:pPr>
            <w:r w:rsidRPr="00455CA5">
              <w:rPr>
                <w:rFonts w:ascii="Palatino Linotype" w:hAnsi="Palatino Linotype"/>
                <w:sz w:val="24"/>
              </w:rPr>
              <w:t>1,343:1</w:t>
            </w:r>
          </w:p>
        </w:tc>
      </w:tr>
    </w:tbl>
    <w:p w14:paraId="6C96A1CF" w14:textId="77777777" w:rsidR="00455CA5" w:rsidRPr="00455CA5" w:rsidRDefault="00455CA5" w:rsidP="00455CA5">
      <w:pPr>
        <w:jc w:val="both"/>
        <w:rPr>
          <w:rFonts w:ascii="Palatino Linotype" w:hAnsi="Palatino Linotype"/>
          <w:sz w:val="24"/>
        </w:rPr>
      </w:pPr>
    </w:p>
    <w:bookmarkEnd w:id="0"/>
    <w:p w14:paraId="59BA4348" w14:textId="0FDE160F" w:rsidR="00455CA5" w:rsidRPr="00455CA5" w:rsidRDefault="00455CA5" w:rsidP="00455CA5">
      <w:pPr>
        <w:jc w:val="both"/>
        <w:rPr>
          <w:rFonts w:ascii="Palatino Linotype" w:hAnsi="Palatino Linotype"/>
          <w:sz w:val="24"/>
        </w:rPr>
      </w:pPr>
      <w:r w:rsidRPr="00455CA5">
        <w:rPr>
          <w:rFonts w:ascii="Palatino Linotype" w:hAnsi="Palatino Linotype"/>
          <w:b/>
          <w:sz w:val="24"/>
        </w:rPr>
        <w:t>Health Behaviors in Tuscarawas County – 201</w:t>
      </w:r>
      <w:r w:rsidR="00B76202">
        <w:rPr>
          <w:rFonts w:ascii="Palatino Linotype" w:hAnsi="Palatino Linotype"/>
          <w:b/>
          <w:sz w:val="24"/>
        </w:rPr>
        <w:t>9</w:t>
      </w:r>
      <w:r w:rsidRPr="00455CA5">
        <w:rPr>
          <w:rFonts w:ascii="Palatino Linotype" w:hAnsi="Palatino Linotype"/>
          <w:b/>
          <w:sz w:val="24"/>
        </w:rPr>
        <w:t xml:space="preserve"> – </w:t>
      </w:r>
      <w:r w:rsidR="00B76202">
        <w:rPr>
          <w:rFonts w:ascii="Palatino Linotype" w:hAnsi="Palatino Linotype"/>
          <w:b/>
          <w:sz w:val="24"/>
        </w:rPr>
        <w:t>49</w:t>
      </w:r>
      <w:r w:rsidRPr="00455CA5">
        <w:rPr>
          <w:rFonts w:ascii="Palatino Linotype" w:hAnsi="Palatino Linotype"/>
          <w:b/>
          <w:sz w:val="24"/>
        </w:rPr>
        <w:t xml:space="preserve">/88 </w:t>
      </w:r>
    </w:p>
    <w:p w14:paraId="59B4003D" w14:textId="77777777" w:rsidR="00455CA5" w:rsidRPr="00455CA5" w:rsidRDefault="00455CA5" w:rsidP="00455CA5">
      <w:pPr>
        <w:jc w:val="both"/>
        <w:rPr>
          <w:rFonts w:ascii="Palatino Linotype" w:hAnsi="Palatino Linotype"/>
          <w:sz w:val="24"/>
        </w:rPr>
      </w:pPr>
    </w:p>
    <w:p w14:paraId="697A1141" w14:textId="21D118EE" w:rsidR="00455CA5" w:rsidRPr="00114419" w:rsidRDefault="00455CA5" w:rsidP="00455CA5">
      <w:pPr>
        <w:jc w:val="both"/>
        <w:rPr>
          <w:rFonts w:ascii="Palatino Linotype" w:hAnsi="Palatino Linotype"/>
          <w:sz w:val="24"/>
        </w:rPr>
      </w:pPr>
      <w:r w:rsidRPr="00114419">
        <w:rPr>
          <w:rFonts w:ascii="Palatino Linotype" w:hAnsi="Palatino Linotype"/>
          <w:sz w:val="24"/>
        </w:rPr>
        <w:t>In 2017, it was identified that 17% of adults in Tuscarawas County are smokers. The 2018 report identifies that 21% of adults are smokers</w:t>
      </w:r>
      <w:r w:rsidR="00114419" w:rsidRPr="00114419">
        <w:rPr>
          <w:rFonts w:ascii="Palatino Linotype" w:hAnsi="Palatino Linotype"/>
          <w:sz w:val="24"/>
        </w:rPr>
        <w:t>, this remains unchanged in 2019</w:t>
      </w:r>
      <w:r w:rsidRPr="00114419">
        <w:rPr>
          <w:rFonts w:ascii="Palatino Linotype" w:hAnsi="Palatino Linotype"/>
          <w:sz w:val="24"/>
        </w:rPr>
        <w:t>.  3</w:t>
      </w:r>
      <w:r w:rsidR="00114419" w:rsidRPr="00114419">
        <w:rPr>
          <w:rFonts w:ascii="Palatino Linotype" w:hAnsi="Palatino Linotype"/>
          <w:sz w:val="24"/>
        </w:rPr>
        <w:t>2</w:t>
      </w:r>
      <w:r w:rsidRPr="00114419">
        <w:rPr>
          <w:rFonts w:ascii="Palatino Linotype" w:hAnsi="Palatino Linotype"/>
          <w:sz w:val="24"/>
        </w:rPr>
        <w:t>% of Tuscarawas County residents are currently classified as obese</w:t>
      </w:r>
      <w:r w:rsidR="00114419" w:rsidRPr="00114419">
        <w:rPr>
          <w:rFonts w:ascii="Palatino Linotype" w:hAnsi="Palatino Linotype"/>
          <w:sz w:val="24"/>
        </w:rPr>
        <w:t xml:space="preserve">. </w:t>
      </w:r>
      <w:r w:rsidRPr="00114419">
        <w:rPr>
          <w:rFonts w:ascii="Palatino Linotype" w:hAnsi="Palatino Linotype"/>
          <w:sz w:val="24"/>
        </w:rPr>
        <w:t>Additional alarming numbers include: 17% of adults report binge drinking or heavy drinking, 1</w:t>
      </w:r>
      <w:r w:rsidR="00114419" w:rsidRPr="00114419">
        <w:rPr>
          <w:rFonts w:ascii="Palatino Linotype" w:hAnsi="Palatino Linotype"/>
          <w:sz w:val="24"/>
        </w:rPr>
        <w:t>3</w:t>
      </w:r>
      <w:r w:rsidRPr="00114419">
        <w:rPr>
          <w:rFonts w:ascii="Palatino Linotype" w:hAnsi="Palatino Linotype"/>
          <w:sz w:val="24"/>
        </w:rPr>
        <w:t>% report food insecurities</w:t>
      </w:r>
      <w:r w:rsidR="00114419" w:rsidRPr="00114419">
        <w:rPr>
          <w:rFonts w:ascii="Palatino Linotype" w:hAnsi="Palatino Linotype"/>
          <w:sz w:val="24"/>
        </w:rPr>
        <w:t xml:space="preserve">, 35% of driving deaths are related to alcohol and 28% report no physical activity. </w:t>
      </w:r>
    </w:p>
    <w:p w14:paraId="0AF4D670" w14:textId="77777777" w:rsidR="00455CA5" w:rsidRPr="00114419" w:rsidRDefault="00455CA5" w:rsidP="00455CA5">
      <w:pPr>
        <w:jc w:val="both"/>
        <w:rPr>
          <w:rFonts w:ascii="Palatino Linotype" w:hAnsi="Palatino Linotype"/>
          <w:sz w:val="24"/>
        </w:rPr>
      </w:pPr>
    </w:p>
    <w:p w14:paraId="6DD348C6" w14:textId="6A0DD556" w:rsidR="00455CA5" w:rsidRPr="00114419" w:rsidRDefault="00455CA5" w:rsidP="00455CA5">
      <w:pPr>
        <w:jc w:val="both"/>
        <w:rPr>
          <w:rFonts w:ascii="Palatino Linotype" w:hAnsi="Palatino Linotype"/>
          <w:b/>
          <w:sz w:val="24"/>
        </w:rPr>
      </w:pPr>
      <w:r w:rsidRPr="00114419">
        <w:rPr>
          <w:rFonts w:ascii="Palatino Linotype" w:hAnsi="Palatino Linotype"/>
          <w:b/>
          <w:sz w:val="24"/>
        </w:rPr>
        <w:t>Physical Environment in Tuscarawas County – 201</w:t>
      </w:r>
      <w:r w:rsidR="00114419">
        <w:rPr>
          <w:rFonts w:ascii="Palatino Linotype" w:hAnsi="Palatino Linotype"/>
          <w:b/>
          <w:sz w:val="24"/>
        </w:rPr>
        <w:t>9</w:t>
      </w:r>
      <w:r w:rsidRPr="00114419">
        <w:rPr>
          <w:rFonts w:ascii="Palatino Linotype" w:hAnsi="Palatino Linotype"/>
          <w:b/>
          <w:sz w:val="24"/>
        </w:rPr>
        <w:t xml:space="preserve"> – </w:t>
      </w:r>
      <w:r w:rsidR="00114419" w:rsidRPr="00114419">
        <w:rPr>
          <w:rFonts w:ascii="Palatino Linotype" w:hAnsi="Palatino Linotype"/>
          <w:b/>
          <w:sz w:val="24"/>
        </w:rPr>
        <w:t>24/88</w:t>
      </w:r>
    </w:p>
    <w:p w14:paraId="5D9BB5B6" w14:textId="77777777" w:rsidR="00941194" w:rsidRPr="00114419" w:rsidRDefault="00941194" w:rsidP="00455CA5">
      <w:pPr>
        <w:jc w:val="both"/>
        <w:rPr>
          <w:rFonts w:ascii="Palatino Linotype" w:hAnsi="Palatino Linotype"/>
          <w:sz w:val="24"/>
        </w:rPr>
      </w:pPr>
    </w:p>
    <w:p w14:paraId="3996E29B" w14:textId="7582F005" w:rsidR="00941194" w:rsidRPr="00114419" w:rsidRDefault="00941194" w:rsidP="00455CA5">
      <w:pPr>
        <w:jc w:val="both"/>
        <w:rPr>
          <w:rFonts w:ascii="Palatino Linotype" w:hAnsi="Palatino Linotype"/>
          <w:sz w:val="24"/>
        </w:rPr>
      </w:pPr>
      <w:r w:rsidRPr="00114419">
        <w:rPr>
          <w:rFonts w:ascii="Palatino Linotype" w:hAnsi="Palatino Linotype"/>
          <w:sz w:val="24"/>
        </w:rPr>
        <w:t>12% of residents report severe housing problems which include overcrowding, high costs or lack of kitchen or plumbing facilities</w:t>
      </w:r>
      <w:r w:rsidR="00114419" w:rsidRPr="00114419">
        <w:rPr>
          <w:rFonts w:ascii="Palatino Linotype" w:hAnsi="Palatino Linotype"/>
          <w:sz w:val="24"/>
        </w:rPr>
        <w:t>, which remains unchanged from 2018</w:t>
      </w:r>
      <w:r w:rsidRPr="00114419">
        <w:rPr>
          <w:rFonts w:ascii="Palatino Linotype" w:hAnsi="Palatino Linotype"/>
          <w:sz w:val="24"/>
        </w:rPr>
        <w:t>.  85% of residents report driving to work alone compared to 83% Statewide.  Only 2</w:t>
      </w:r>
      <w:r w:rsidR="00114419" w:rsidRPr="00114419">
        <w:rPr>
          <w:rFonts w:ascii="Palatino Linotype" w:hAnsi="Palatino Linotype"/>
          <w:sz w:val="24"/>
        </w:rPr>
        <w:t>7</w:t>
      </w:r>
      <w:r w:rsidRPr="00114419">
        <w:rPr>
          <w:rFonts w:ascii="Palatino Linotype" w:hAnsi="Palatino Linotype"/>
          <w:sz w:val="24"/>
        </w:rPr>
        <w:t xml:space="preserve">% report having a long, greater than </w:t>
      </w:r>
      <w:r w:rsidR="00114419" w:rsidRPr="00114419">
        <w:rPr>
          <w:rFonts w:ascii="Palatino Linotype" w:hAnsi="Palatino Linotype"/>
          <w:sz w:val="24"/>
        </w:rPr>
        <w:t>30-minute</w:t>
      </w:r>
      <w:r w:rsidRPr="00114419">
        <w:rPr>
          <w:rFonts w:ascii="Palatino Linotype" w:hAnsi="Palatino Linotype"/>
          <w:sz w:val="24"/>
        </w:rPr>
        <w:t>, commute to work.  No drinking water violations were reported.</w:t>
      </w:r>
      <w:r w:rsidR="00114419" w:rsidRPr="00114419">
        <w:rPr>
          <w:rFonts w:ascii="Palatino Linotype" w:hAnsi="Palatino Linotype"/>
          <w:sz w:val="24"/>
        </w:rPr>
        <w:t xml:space="preserve">  11% of residents have severe housing cost burden, which means that the household spends 50% or more of their income on housing. </w:t>
      </w:r>
    </w:p>
    <w:p w14:paraId="6C8025D4" w14:textId="77777777" w:rsidR="00941194" w:rsidRPr="00B76202" w:rsidRDefault="00941194" w:rsidP="00455CA5">
      <w:pPr>
        <w:jc w:val="both"/>
        <w:rPr>
          <w:rFonts w:ascii="Palatino Linotype" w:hAnsi="Palatino Linotype"/>
          <w:sz w:val="24"/>
          <w:highlight w:val="yellow"/>
        </w:rPr>
      </w:pPr>
    </w:p>
    <w:p w14:paraId="0B3827D6" w14:textId="77777777" w:rsidR="00941194" w:rsidRPr="00B76202" w:rsidRDefault="00941194" w:rsidP="00455CA5">
      <w:pPr>
        <w:jc w:val="both"/>
        <w:rPr>
          <w:rFonts w:ascii="Palatino Linotype" w:hAnsi="Palatino Linotype"/>
          <w:sz w:val="24"/>
          <w:highlight w:val="yellow"/>
        </w:rPr>
      </w:pPr>
    </w:p>
    <w:p w14:paraId="045CECED" w14:textId="77777777" w:rsidR="00455CA5" w:rsidRPr="00B76202" w:rsidRDefault="00455CA5" w:rsidP="00455CA5">
      <w:pPr>
        <w:jc w:val="both"/>
        <w:rPr>
          <w:rFonts w:ascii="Palatino Linotype" w:hAnsi="Palatino Linotype"/>
          <w:sz w:val="24"/>
          <w:highlight w:val="yellow"/>
        </w:rPr>
      </w:pPr>
    </w:p>
    <w:p w14:paraId="7BF9EBB4" w14:textId="1E053789" w:rsidR="00455CA5" w:rsidRPr="00114419" w:rsidRDefault="00455CA5" w:rsidP="00455CA5">
      <w:pPr>
        <w:jc w:val="both"/>
        <w:rPr>
          <w:rFonts w:ascii="Palatino Linotype" w:hAnsi="Palatino Linotype"/>
          <w:b/>
          <w:sz w:val="24"/>
        </w:rPr>
      </w:pPr>
      <w:r w:rsidRPr="00114419">
        <w:rPr>
          <w:rFonts w:ascii="Palatino Linotype" w:hAnsi="Palatino Linotype"/>
          <w:b/>
          <w:sz w:val="24"/>
        </w:rPr>
        <w:t>Social and Economic Factors of Tuscarawas County – 201</w:t>
      </w:r>
      <w:r w:rsidR="00114419" w:rsidRPr="00114419">
        <w:rPr>
          <w:rFonts w:ascii="Palatino Linotype" w:hAnsi="Palatino Linotype"/>
          <w:b/>
          <w:sz w:val="24"/>
        </w:rPr>
        <w:t>9</w:t>
      </w:r>
      <w:r w:rsidRPr="00114419">
        <w:rPr>
          <w:rFonts w:ascii="Palatino Linotype" w:hAnsi="Palatino Linotype"/>
          <w:b/>
          <w:sz w:val="24"/>
        </w:rPr>
        <w:t xml:space="preserve">- </w:t>
      </w:r>
      <w:r w:rsidR="00114419" w:rsidRPr="00114419">
        <w:rPr>
          <w:rFonts w:ascii="Palatino Linotype" w:hAnsi="Palatino Linotype"/>
          <w:b/>
          <w:sz w:val="24"/>
        </w:rPr>
        <w:t>42</w:t>
      </w:r>
      <w:r w:rsidRPr="00114419">
        <w:rPr>
          <w:rFonts w:ascii="Palatino Linotype" w:hAnsi="Palatino Linotype"/>
          <w:b/>
          <w:sz w:val="24"/>
        </w:rPr>
        <w:t xml:space="preserve">/88 </w:t>
      </w:r>
    </w:p>
    <w:p w14:paraId="3DD44DA7" w14:textId="77777777" w:rsidR="00455CA5" w:rsidRPr="00B76202" w:rsidRDefault="00455CA5" w:rsidP="00455CA5">
      <w:pPr>
        <w:jc w:val="both"/>
        <w:rPr>
          <w:rFonts w:ascii="Palatino Linotype" w:hAnsi="Palatino Linotype"/>
          <w:sz w:val="24"/>
          <w:highlight w:val="yellow"/>
        </w:rPr>
      </w:pPr>
    </w:p>
    <w:p w14:paraId="14B3E3DA" w14:textId="3C11654C" w:rsidR="00455CA5" w:rsidRPr="00114419" w:rsidRDefault="00455CA5" w:rsidP="00455CA5">
      <w:pPr>
        <w:jc w:val="both"/>
        <w:rPr>
          <w:rFonts w:ascii="Palatino Linotype" w:hAnsi="Palatino Linotype"/>
          <w:sz w:val="24"/>
        </w:rPr>
      </w:pPr>
      <w:r w:rsidRPr="00114419">
        <w:rPr>
          <w:rFonts w:ascii="Palatino Linotype" w:hAnsi="Palatino Linotype"/>
          <w:sz w:val="24"/>
        </w:rPr>
        <w:t>Social and economic factors vary depending on where we live and by our racial/ethnic background. 8</w:t>
      </w:r>
      <w:r w:rsidR="00114419" w:rsidRPr="00114419">
        <w:rPr>
          <w:rFonts w:ascii="Palatino Linotype" w:hAnsi="Palatino Linotype"/>
          <w:sz w:val="24"/>
        </w:rPr>
        <w:t>6</w:t>
      </w:r>
      <w:r w:rsidRPr="00114419">
        <w:rPr>
          <w:rFonts w:ascii="Palatino Linotype" w:hAnsi="Palatino Linotype"/>
          <w:sz w:val="24"/>
        </w:rPr>
        <w:t>% of Tuscarawas County residents have a least a high school diploma or GED.  The unemployment rate in Tuscarawas County is 5.</w:t>
      </w:r>
      <w:r w:rsidR="00114419" w:rsidRPr="00114419">
        <w:rPr>
          <w:rFonts w:ascii="Palatino Linotype" w:hAnsi="Palatino Linotype"/>
          <w:sz w:val="24"/>
        </w:rPr>
        <w:t>0</w:t>
      </w:r>
      <w:r w:rsidRPr="00114419">
        <w:rPr>
          <w:rFonts w:ascii="Palatino Linotype" w:hAnsi="Palatino Linotype"/>
          <w:sz w:val="24"/>
        </w:rPr>
        <w:t>%, down 0.</w:t>
      </w:r>
      <w:r w:rsidR="00114419" w:rsidRPr="00114419">
        <w:rPr>
          <w:rFonts w:ascii="Palatino Linotype" w:hAnsi="Palatino Linotype"/>
          <w:sz w:val="24"/>
        </w:rPr>
        <w:t>7</w:t>
      </w:r>
      <w:r w:rsidRPr="00114419">
        <w:rPr>
          <w:rFonts w:ascii="Palatino Linotype" w:hAnsi="Palatino Linotype"/>
          <w:sz w:val="24"/>
        </w:rPr>
        <w:t>% from 201</w:t>
      </w:r>
      <w:r w:rsidR="00114419" w:rsidRPr="00114419">
        <w:rPr>
          <w:rFonts w:ascii="Palatino Linotype" w:hAnsi="Palatino Linotype"/>
          <w:sz w:val="24"/>
        </w:rPr>
        <w:t>8</w:t>
      </w:r>
      <w:r w:rsidRPr="00114419">
        <w:rPr>
          <w:rFonts w:ascii="Palatino Linotype" w:hAnsi="Palatino Linotype"/>
          <w:sz w:val="24"/>
        </w:rPr>
        <w:t>.  17% of Tuscarawas County children live in poverty and 29% of children live in single-parent households.  The median household income is $</w:t>
      </w:r>
      <w:r w:rsidR="00114419" w:rsidRPr="00114419">
        <w:rPr>
          <w:rFonts w:ascii="Palatino Linotype" w:hAnsi="Palatino Linotype"/>
          <w:sz w:val="24"/>
        </w:rPr>
        <w:t>51,400</w:t>
      </w:r>
      <w:r w:rsidRPr="00114419">
        <w:rPr>
          <w:rFonts w:ascii="Palatino Linotype" w:hAnsi="Palatino Linotype"/>
          <w:sz w:val="24"/>
        </w:rPr>
        <w:t xml:space="preserve"> which is </w:t>
      </w:r>
      <w:r w:rsidR="00114419" w:rsidRPr="00114419">
        <w:rPr>
          <w:rFonts w:ascii="Palatino Linotype" w:hAnsi="Palatino Linotype"/>
          <w:sz w:val="24"/>
        </w:rPr>
        <w:t>a slight increase</w:t>
      </w:r>
      <w:r w:rsidRPr="00114419">
        <w:rPr>
          <w:rFonts w:ascii="Palatino Linotype" w:hAnsi="Palatino Linotype"/>
          <w:sz w:val="24"/>
        </w:rPr>
        <w:t xml:space="preserve"> from 201</w:t>
      </w:r>
      <w:r w:rsidR="00114419" w:rsidRPr="00114419">
        <w:rPr>
          <w:rFonts w:ascii="Palatino Linotype" w:hAnsi="Palatino Linotype"/>
          <w:sz w:val="24"/>
        </w:rPr>
        <w:t>8</w:t>
      </w:r>
      <w:r w:rsidRPr="00114419">
        <w:rPr>
          <w:rFonts w:ascii="Palatino Linotype" w:hAnsi="Palatino Linotype"/>
          <w:sz w:val="24"/>
        </w:rPr>
        <w:t>. 4</w:t>
      </w:r>
      <w:r w:rsidR="00114419" w:rsidRPr="00114419">
        <w:rPr>
          <w:rFonts w:ascii="Palatino Linotype" w:hAnsi="Palatino Linotype"/>
          <w:sz w:val="24"/>
        </w:rPr>
        <w:t>7</w:t>
      </w:r>
      <w:r w:rsidRPr="00114419">
        <w:rPr>
          <w:rFonts w:ascii="Palatino Linotype" w:hAnsi="Palatino Linotype"/>
          <w:sz w:val="24"/>
        </w:rPr>
        <w:t>% of children in Tuscarawas County are eligible for free and/or reduced lunches</w:t>
      </w:r>
      <w:r w:rsidR="00114419" w:rsidRPr="00114419">
        <w:rPr>
          <w:rFonts w:ascii="Palatino Linotype" w:hAnsi="Palatino Linotype"/>
          <w:sz w:val="24"/>
        </w:rPr>
        <w:t xml:space="preserve"> up 5% from 2018</w:t>
      </w:r>
      <w:r w:rsidRPr="00114419">
        <w:rPr>
          <w:rFonts w:ascii="Palatino Linotype" w:hAnsi="Palatino Linotype"/>
          <w:sz w:val="24"/>
        </w:rPr>
        <w:t xml:space="preserve">.  </w:t>
      </w:r>
    </w:p>
    <w:p w14:paraId="5438D00D" w14:textId="77777777" w:rsidR="000D4291" w:rsidRPr="00114419" w:rsidRDefault="000D4291" w:rsidP="00222523">
      <w:pPr>
        <w:jc w:val="both"/>
        <w:rPr>
          <w:rFonts w:ascii="Palatino Linotype" w:hAnsi="Palatino Linotype"/>
          <w:b/>
          <w:sz w:val="24"/>
        </w:rPr>
      </w:pPr>
    </w:p>
    <w:p w14:paraId="229262DC" w14:textId="5DF2C05A" w:rsidR="00420DE9" w:rsidRPr="00114419" w:rsidRDefault="00420DE9" w:rsidP="00222523">
      <w:pPr>
        <w:jc w:val="both"/>
        <w:rPr>
          <w:rFonts w:ascii="Palatino Linotype" w:hAnsi="Palatino Linotype"/>
          <w:b/>
          <w:sz w:val="24"/>
        </w:rPr>
      </w:pPr>
      <w:r w:rsidRPr="00114419">
        <w:rPr>
          <w:rFonts w:ascii="Palatino Linotype" w:hAnsi="Palatino Linotype"/>
          <w:b/>
          <w:sz w:val="24"/>
        </w:rPr>
        <w:t xml:space="preserve">Quality of </w:t>
      </w:r>
      <w:r w:rsidR="009327E3" w:rsidRPr="00114419">
        <w:rPr>
          <w:rFonts w:ascii="Palatino Linotype" w:hAnsi="Palatino Linotype"/>
          <w:b/>
          <w:sz w:val="24"/>
        </w:rPr>
        <w:t xml:space="preserve">Life in Tuscarawas County </w:t>
      </w:r>
      <w:r w:rsidR="00A47039" w:rsidRPr="00114419">
        <w:rPr>
          <w:rFonts w:ascii="Palatino Linotype" w:hAnsi="Palatino Linotype"/>
          <w:b/>
          <w:sz w:val="24"/>
        </w:rPr>
        <w:t>–</w:t>
      </w:r>
      <w:r w:rsidR="009327E3" w:rsidRPr="00114419">
        <w:rPr>
          <w:rFonts w:ascii="Palatino Linotype" w:hAnsi="Palatino Linotype"/>
          <w:b/>
          <w:sz w:val="24"/>
        </w:rPr>
        <w:t xml:space="preserve"> 201</w:t>
      </w:r>
      <w:r w:rsidR="00114419" w:rsidRPr="00114419">
        <w:rPr>
          <w:rFonts w:ascii="Palatino Linotype" w:hAnsi="Palatino Linotype"/>
          <w:b/>
          <w:sz w:val="24"/>
        </w:rPr>
        <w:t>9</w:t>
      </w:r>
      <w:r w:rsidR="00A47039" w:rsidRPr="00114419">
        <w:rPr>
          <w:rFonts w:ascii="Palatino Linotype" w:hAnsi="Palatino Linotype"/>
          <w:b/>
          <w:sz w:val="24"/>
        </w:rPr>
        <w:t xml:space="preserve"> – 3</w:t>
      </w:r>
      <w:r w:rsidR="00114419" w:rsidRPr="00114419">
        <w:rPr>
          <w:rFonts w:ascii="Palatino Linotype" w:hAnsi="Palatino Linotype"/>
          <w:b/>
          <w:sz w:val="24"/>
        </w:rPr>
        <w:t>5</w:t>
      </w:r>
      <w:r w:rsidR="00A47039" w:rsidRPr="00114419">
        <w:rPr>
          <w:rFonts w:ascii="Palatino Linotype" w:hAnsi="Palatino Linotype"/>
          <w:b/>
          <w:sz w:val="24"/>
        </w:rPr>
        <w:t>/88</w:t>
      </w:r>
      <w:r w:rsidR="00540C02" w:rsidRPr="00114419">
        <w:rPr>
          <w:rFonts w:ascii="Palatino Linotype" w:hAnsi="Palatino Linotype"/>
          <w:b/>
          <w:sz w:val="24"/>
        </w:rPr>
        <w:t xml:space="preserve"> </w:t>
      </w:r>
    </w:p>
    <w:p w14:paraId="64E7471E" w14:textId="77777777" w:rsidR="00222523" w:rsidRPr="00114419" w:rsidRDefault="00222523" w:rsidP="00222523">
      <w:pPr>
        <w:jc w:val="both"/>
        <w:rPr>
          <w:rFonts w:ascii="Palatino Linotype" w:hAnsi="Palatino Linotype"/>
          <w:sz w:val="24"/>
        </w:rPr>
      </w:pPr>
    </w:p>
    <w:p w14:paraId="7B13DB71" w14:textId="484C81E4" w:rsidR="00455CA5" w:rsidRPr="00E71853" w:rsidRDefault="00114419" w:rsidP="00222523">
      <w:pPr>
        <w:jc w:val="both"/>
        <w:rPr>
          <w:rFonts w:ascii="Palatino Linotype" w:hAnsi="Palatino Linotype"/>
          <w:sz w:val="24"/>
        </w:rPr>
      </w:pPr>
      <w:r w:rsidRPr="00E71853">
        <w:rPr>
          <w:rFonts w:ascii="Palatino Linotype" w:hAnsi="Palatino Linotype"/>
          <w:sz w:val="24"/>
        </w:rPr>
        <w:t>18% of residents have poor or fair health.  The current life expectancy in Tuscarawas County is 78.1 compared to Ohio at 77.0.  12% of residents have frequent mental distress, defined at 14 or more days of mental distress per month.  The Ohio diabetes prevalence is 12%, whereas Tuscarawas County has 14%.</w:t>
      </w:r>
    </w:p>
    <w:p w14:paraId="54230B11" w14:textId="77777777" w:rsidR="00114419" w:rsidRPr="00B76202" w:rsidRDefault="00114419" w:rsidP="00222523">
      <w:pPr>
        <w:jc w:val="both"/>
        <w:rPr>
          <w:rFonts w:ascii="Palatino Linotype" w:hAnsi="Palatino Linotype"/>
          <w:b/>
          <w:sz w:val="24"/>
          <w:highlight w:val="yellow"/>
        </w:rPr>
      </w:pPr>
    </w:p>
    <w:p w14:paraId="43D67B42" w14:textId="77777777" w:rsidR="00E60C7A" w:rsidRPr="002210A3" w:rsidRDefault="00E60C7A" w:rsidP="00222523">
      <w:pPr>
        <w:jc w:val="both"/>
        <w:rPr>
          <w:rFonts w:ascii="Palatino Linotype" w:hAnsi="Palatino Linotype"/>
          <w:b/>
          <w:sz w:val="24"/>
        </w:rPr>
      </w:pPr>
      <w:r w:rsidRPr="002210A3">
        <w:rPr>
          <w:rFonts w:ascii="Palatino Linotype" w:hAnsi="Palatino Linotype"/>
          <w:b/>
          <w:sz w:val="24"/>
        </w:rPr>
        <w:t xml:space="preserve">Conclusion </w:t>
      </w:r>
    </w:p>
    <w:p w14:paraId="16435A89" w14:textId="77777777" w:rsidR="00E60C7A" w:rsidRPr="002210A3" w:rsidRDefault="00E60C7A" w:rsidP="00222523">
      <w:pPr>
        <w:jc w:val="both"/>
        <w:rPr>
          <w:rFonts w:ascii="Palatino Linotype" w:hAnsi="Palatino Linotype"/>
          <w:b/>
          <w:sz w:val="24"/>
        </w:rPr>
      </w:pPr>
    </w:p>
    <w:p w14:paraId="30F4FF28" w14:textId="7270FE3E" w:rsidR="00DE4B15" w:rsidRPr="00E60C7A" w:rsidRDefault="00540C02" w:rsidP="00222523">
      <w:pPr>
        <w:jc w:val="both"/>
        <w:rPr>
          <w:rFonts w:ascii="Palatino Linotype" w:hAnsi="Palatino Linotype"/>
          <w:b/>
          <w:sz w:val="24"/>
        </w:rPr>
      </w:pPr>
      <w:r w:rsidRPr="002210A3">
        <w:rPr>
          <w:rFonts w:ascii="Palatino Linotype" w:hAnsi="Palatino Linotype"/>
          <w:sz w:val="24"/>
        </w:rPr>
        <w:t xml:space="preserve">The healthiest counties in Ohio include Delaware, </w:t>
      </w:r>
      <w:r w:rsidR="00114419" w:rsidRPr="002210A3">
        <w:rPr>
          <w:rFonts w:ascii="Palatino Linotype" w:hAnsi="Palatino Linotype"/>
          <w:sz w:val="24"/>
        </w:rPr>
        <w:t>Putnam</w:t>
      </w:r>
      <w:r w:rsidRPr="002210A3">
        <w:rPr>
          <w:rFonts w:ascii="Palatino Linotype" w:hAnsi="Palatino Linotype"/>
          <w:sz w:val="24"/>
        </w:rPr>
        <w:t>,</w:t>
      </w:r>
      <w:r w:rsidR="00114419" w:rsidRPr="002210A3">
        <w:rPr>
          <w:rFonts w:ascii="Palatino Linotype" w:hAnsi="Palatino Linotype"/>
          <w:sz w:val="24"/>
        </w:rPr>
        <w:t xml:space="preserve"> Geauga, Medina and Holmes</w:t>
      </w:r>
      <w:r w:rsidRPr="002210A3">
        <w:rPr>
          <w:rFonts w:ascii="Palatino Linotype" w:hAnsi="Palatino Linotype"/>
          <w:sz w:val="24"/>
        </w:rPr>
        <w:t xml:space="preserve"> while the unhealthiest are Adams, Pike</w:t>
      </w:r>
      <w:r w:rsidR="00114419" w:rsidRPr="002210A3">
        <w:rPr>
          <w:rFonts w:ascii="Palatino Linotype" w:hAnsi="Palatino Linotype"/>
          <w:sz w:val="24"/>
        </w:rPr>
        <w:t>, Gallia, Meigs and Scioto</w:t>
      </w:r>
      <w:r w:rsidRPr="002210A3">
        <w:rPr>
          <w:rFonts w:ascii="Palatino Linotype" w:hAnsi="Palatino Linotype"/>
          <w:sz w:val="24"/>
        </w:rPr>
        <w:t xml:space="preserve">.  Tuscarawas County </w:t>
      </w:r>
      <w:r w:rsidR="00114419" w:rsidRPr="002210A3">
        <w:rPr>
          <w:rFonts w:ascii="Palatino Linotype" w:hAnsi="Palatino Linotype"/>
          <w:sz w:val="24"/>
        </w:rPr>
        <w:t xml:space="preserve">continues to </w:t>
      </w:r>
      <w:r w:rsidRPr="002210A3">
        <w:rPr>
          <w:rFonts w:ascii="Palatino Linotype" w:hAnsi="Palatino Linotype"/>
          <w:sz w:val="24"/>
        </w:rPr>
        <w:t>rank in the top 1/3</w:t>
      </w:r>
      <w:r w:rsidR="002210A3" w:rsidRPr="002210A3">
        <w:rPr>
          <w:rFonts w:ascii="Palatino Linotype" w:hAnsi="Palatino Linotype"/>
          <w:sz w:val="24"/>
        </w:rPr>
        <w:t xml:space="preserve">.  </w:t>
      </w:r>
      <w:r w:rsidRPr="002210A3">
        <w:rPr>
          <w:rFonts w:ascii="Palatino Linotype" w:hAnsi="Palatino Linotype"/>
          <w:sz w:val="24"/>
        </w:rPr>
        <w:t>While this is encouraging there is still much work that needs to be done in the area of clinical care</w:t>
      </w:r>
      <w:r w:rsidR="002210A3" w:rsidRPr="002210A3">
        <w:rPr>
          <w:rFonts w:ascii="Palatino Linotype" w:hAnsi="Palatino Linotype"/>
          <w:sz w:val="24"/>
        </w:rPr>
        <w:t xml:space="preserve"> and social and economic factors</w:t>
      </w:r>
      <w:r w:rsidRPr="002210A3">
        <w:rPr>
          <w:rFonts w:ascii="Palatino Linotype" w:hAnsi="Palatino Linotype"/>
          <w:sz w:val="24"/>
        </w:rPr>
        <w:t>.  All counties can take action to improve, no matter where they rank. It is not a race to the top and progress toward better health and change takes time – usually incrementally. The most important thing is to take action</w:t>
      </w:r>
      <w:r w:rsidR="00667203" w:rsidRPr="002210A3">
        <w:rPr>
          <w:rFonts w:ascii="Palatino Linotype" w:hAnsi="Palatino Linotype"/>
          <w:sz w:val="24"/>
        </w:rPr>
        <w:t>,</w:t>
      </w:r>
      <w:r w:rsidRPr="002210A3">
        <w:rPr>
          <w:rFonts w:ascii="Palatino Linotype" w:hAnsi="Palatino Linotype"/>
          <w:sz w:val="24"/>
        </w:rPr>
        <w:t xml:space="preserve"> which is</w:t>
      </w:r>
      <w:r w:rsidR="00667203" w:rsidRPr="002210A3">
        <w:rPr>
          <w:rFonts w:ascii="Palatino Linotype" w:hAnsi="Palatino Linotype"/>
          <w:sz w:val="24"/>
        </w:rPr>
        <w:t xml:space="preserve"> already being done in</w:t>
      </w:r>
      <w:r w:rsidRPr="002210A3">
        <w:rPr>
          <w:rFonts w:ascii="Palatino Linotype" w:hAnsi="Palatino Linotype"/>
          <w:sz w:val="24"/>
        </w:rPr>
        <w:t xml:space="preserve"> collaborative effort</w:t>
      </w:r>
      <w:r w:rsidR="00667203" w:rsidRPr="002210A3">
        <w:rPr>
          <w:rFonts w:ascii="Palatino Linotype" w:hAnsi="Palatino Linotype"/>
          <w:sz w:val="24"/>
        </w:rPr>
        <w:t>s</w:t>
      </w:r>
      <w:r w:rsidRPr="002210A3">
        <w:rPr>
          <w:rFonts w:ascii="Palatino Linotype" w:hAnsi="Palatino Linotype"/>
          <w:sz w:val="24"/>
        </w:rPr>
        <w:t xml:space="preserve"> through coalitions such as </w:t>
      </w:r>
      <w:proofErr w:type="spellStart"/>
      <w:r w:rsidRPr="002210A3">
        <w:rPr>
          <w:rFonts w:ascii="Palatino Linotype" w:hAnsi="Palatino Linotype"/>
          <w:sz w:val="24"/>
        </w:rPr>
        <w:t>HealthyTusc</w:t>
      </w:r>
      <w:proofErr w:type="spellEnd"/>
      <w:r w:rsidRPr="002210A3">
        <w:rPr>
          <w:rFonts w:ascii="Palatino Linotype" w:hAnsi="Palatino Linotype"/>
          <w:sz w:val="24"/>
        </w:rPr>
        <w:t xml:space="preserve"> and </w:t>
      </w:r>
      <w:proofErr w:type="spellStart"/>
      <w:r w:rsidRPr="002210A3">
        <w:rPr>
          <w:rFonts w:ascii="Palatino Linotype" w:hAnsi="Palatino Linotype"/>
          <w:sz w:val="24"/>
        </w:rPr>
        <w:t>AccessTusc</w:t>
      </w:r>
      <w:proofErr w:type="spellEnd"/>
      <w:r w:rsidRPr="002210A3">
        <w:rPr>
          <w:rFonts w:ascii="Palatino Linotype" w:hAnsi="Palatino Linotype"/>
          <w:sz w:val="24"/>
        </w:rPr>
        <w:t>.  These coalitions aim to improve the health and welling of Tuscarawas County through coordinated efforts of many agencies</w:t>
      </w:r>
      <w:r w:rsidR="00667203" w:rsidRPr="002210A3">
        <w:rPr>
          <w:rFonts w:ascii="Palatino Linotype" w:hAnsi="Palatino Linotype"/>
          <w:sz w:val="24"/>
        </w:rPr>
        <w:t xml:space="preserve"> and organizations.   For more information on the County health rankings </w:t>
      </w:r>
      <w:r w:rsidR="00941194" w:rsidRPr="002210A3">
        <w:rPr>
          <w:rFonts w:ascii="Palatino Linotype" w:hAnsi="Palatino Linotype"/>
          <w:sz w:val="24"/>
        </w:rPr>
        <w:t>or</w:t>
      </w:r>
      <w:r w:rsidR="00667203" w:rsidRPr="002210A3">
        <w:rPr>
          <w:rFonts w:ascii="Palatino Linotype" w:hAnsi="Palatino Linotype"/>
          <w:sz w:val="24"/>
        </w:rPr>
        <w:t xml:space="preserve"> to compare Counties</w:t>
      </w:r>
      <w:r w:rsidR="00941194" w:rsidRPr="002210A3">
        <w:rPr>
          <w:rFonts w:ascii="Palatino Linotype" w:hAnsi="Palatino Linotype"/>
          <w:sz w:val="24"/>
        </w:rPr>
        <w:t xml:space="preserve"> in Ohio, please</w:t>
      </w:r>
      <w:r w:rsidR="00667203" w:rsidRPr="002210A3">
        <w:rPr>
          <w:rFonts w:ascii="Palatino Linotype" w:hAnsi="Palatino Linotype"/>
          <w:sz w:val="24"/>
        </w:rPr>
        <w:t xml:space="preserve"> visit </w:t>
      </w:r>
      <w:r w:rsidR="00667203" w:rsidRPr="002210A3">
        <w:rPr>
          <w:rFonts w:ascii="Palatino Linotype" w:hAnsi="Palatino Linotype"/>
          <w:b/>
          <w:sz w:val="24"/>
        </w:rPr>
        <w:t>w</w:t>
      </w:r>
      <w:r w:rsidR="00DE4B15" w:rsidRPr="002210A3">
        <w:rPr>
          <w:rFonts w:ascii="Palatino Linotype" w:hAnsi="Palatino Linotype"/>
          <w:b/>
          <w:sz w:val="24"/>
        </w:rPr>
        <w:t>ww.countyhealthrankings.org</w:t>
      </w:r>
      <w:r w:rsidR="00941194" w:rsidRPr="002210A3">
        <w:rPr>
          <w:rFonts w:ascii="Palatino Linotype" w:hAnsi="Palatino Linotype"/>
          <w:b/>
          <w:sz w:val="24"/>
        </w:rPr>
        <w:t>.</w:t>
      </w:r>
    </w:p>
    <w:p w14:paraId="41ED5CA6" w14:textId="77777777" w:rsidR="00222523" w:rsidRDefault="00222523" w:rsidP="00222523">
      <w:pPr>
        <w:jc w:val="both"/>
        <w:rPr>
          <w:rFonts w:ascii="Palatino Linotype" w:hAnsi="Palatino Linotype"/>
          <w:sz w:val="24"/>
        </w:rPr>
      </w:pPr>
    </w:p>
    <w:p w14:paraId="4A083235" w14:textId="77777777" w:rsidR="00222523" w:rsidRDefault="00222523" w:rsidP="00222523">
      <w:pPr>
        <w:jc w:val="both"/>
        <w:rPr>
          <w:rFonts w:ascii="Palatino Linotype" w:hAnsi="Palatino Linotype"/>
          <w:sz w:val="24"/>
        </w:rPr>
      </w:pPr>
    </w:p>
    <w:p w14:paraId="377AF64B" w14:textId="77777777" w:rsidR="00222523" w:rsidRPr="00222523" w:rsidRDefault="00222523" w:rsidP="00222523">
      <w:pPr>
        <w:jc w:val="both"/>
        <w:rPr>
          <w:rFonts w:ascii="Palatino Linotype" w:hAnsi="Palatino Linotype"/>
          <w:sz w:val="24"/>
        </w:rPr>
      </w:pPr>
    </w:p>
    <w:sectPr w:rsidR="00222523" w:rsidRPr="00222523" w:rsidSect="0022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26C73"/>
    <w:rsid w:val="0003074C"/>
    <w:rsid w:val="000912D6"/>
    <w:rsid w:val="000D4291"/>
    <w:rsid w:val="00114419"/>
    <w:rsid w:val="00164419"/>
    <w:rsid w:val="001942F8"/>
    <w:rsid w:val="001E7A17"/>
    <w:rsid w:val="00213AAE"/>
    <w:rsid w:val="002210A3"/>
    <w:rsid w:val="00222523"/>
    <w:rsid w:val="002E08B6"/>
    <w:rsid w:val="00361E36"/>
    <w:rsid w:val="00383757"/>
    <w:rsid w:val="00391D1E"/>
    <w:rsid w:val="003B0848"/>
    <w:rsid w:val="003B2368"/>
    <w:rsid w:val="004179FC"/>
    <w:rsid w:val="00420DE9"/>
    <w:rsid w:val="0045558E"/>
    <w:rsid w:val="00455CA5"/>
    <w:rsid w:val="00457272"/>
    <w:rsid w:val="00467B91"/>
    <w:rsid w:val="004711A0"/>
    <w:rsid w:val="00492B78"/>
    <w:rsid w:val="005052C4"/>
    <w:rsid w:val="00540C02"/>
    <w:rsid w:val="005B7936"/>
    <w:rsid w:val="005D1066"/>
    <w:rsid w:val="006517E9"/>
    <w:rsid w:val="00667203"/>
    <w:rsid w:val="006B088E"/>
    <w:rsid w:val="00726210"/>
    <w:rsid w:val="00805046"/>
    <w:rsid w:val="00812BB9"/>
    <w:rsid w:val="00845A3E"/>
    <w:rsid w:val="00901000"/>
    <w:rsid w:val="0091125D"/>
    <w:rsid w:val="009327E3"/>
    <w:rsid w:val="00941194"/>
    <w:rsid w:val="00943A23"/>
    <w:rsid w:val="009E6141"/>
    <w:rsid w:val="00A47039"/>
    <w:rsid w:val="00B511E1"/>
    <w:rsid w:val="00B61D2F"/>
    <w:rsid w:val="00B76202"/>
    <w:rsid w:val="00B969A7"/>
    <w:rsid w:val="00BC01EF"/>
    <w:rsid w:val="00C642DA"/>
    <w:rsid w:val="00C764D6"/>
    <w:rsid w:val="00CE66DA"/>
    <w:rsid w:val="00DB5E11"/>
    <w:rsid w:val="00DC09EE"/>
    <w:rsid w:val="00DE4B15"/>
    <w:rsid w:val="00E40C7E"/>
    <w:rsid w:val="00E448F3"/>
    <w:rsid w:val="00E60C7A"/>
    <w:rsid w:val="00E6679B"/>
    <w:rsid w:val="00E71853"/>
    <w:rsid w:val="00EA2767"/>
    <w:rsid w:val="00EA2C9B"/>
    <w:rsid w:val="00F469B7"/>
    <w:rsid w:val="00FA62CF"/>
    <w:rsid w:val="00FB4A80"/>
    <w:rsid w:val="00FC5D13"/>
    <w:rsid w:val="00FD57EA"/>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526E3BFF"/>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Overall Health Outcome Rank - </a:t>
            </a:r>
          </a:p>
          <a:p>
            <a:pPr>
              <a:defRPr/>
            </a:pPr>
            <a:r>
              <a:rPr lang="en-US"/>
              <a:t>Tuscarawas County</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5 year Trend</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30</c:v>
                </c:pt>
                <c:pt idx="1">
                  <c:v>32</c:v>
                </c:pt>
                <c:pt idx="2">
                  <c:v>36</c:v>
                </c:pt>
                <c:pt idx="3">
                  <c:v>28</c:v>
                </c:pt>
                <c:pt idx="4">
                  <c:v>23</c:v>
                </c:pt>
              </c:numCache>
            </c:numRef>
          </c:val>
          <c:smooth val="0"/>
          <c:extLst>
            <c:ext xmlns:c16="http://schemas.microsoft.com/office/drawing/2014/chart" uri="{C3380CC4-5D6E-409C-BE32-E72D297353CC}">
              <c16:uniqueId val="{00000000-8478-44C9-A148-B6212015F10A}"/>
            </c:ext>
          </c:extLst>
        </c:ser>
        <c:dLbls>
          <c:dLblPos val="ctr"/>
          <c:showLegendKey val="0"/>
          <c:showVal val="1"/>
          <c:showCatName val="0"/>
          <c:showSerName val="0"/>
          <c:showPercent val="0"/>
          <c:showBubbleSize val="0"/>
        </c:dLbls>
        <c:marker val="1"/>
        <c:smooth val="0"/>
        <c:axId val="228391256"/>
        <c:axId val="228391648"/>
      </c:lineChart>
      <c:catAx>
        <c:axId val="2283912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28391648"/>
        <c:crosses val="autoZero"/>
        <c:auto val="1"/>
        <c:lblAlgn val="ctr"/>
        <c:lblOffset val="100"/>
        <c:noMultiLvlLbl val="0"/>
      </c:catAx>
      <c:valAx>
        <c:axId val="228391648"/>
        <c:scaling>
          <c:orientation val="minMax"/>
        </c:scaling>
        <c:delete val="1"/>
        <c:axPos val="l"/>
        <c:numFmt formatCode="General" sourceLinked="1"/>
        <c:majorTickMark val="none"/>
        <c:minorTickMark val="none"/>
        <c:tickLblPos val="nextTo"/>
        <c:crossAx val="2283912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Overall Health Factors Rank -</a:t>
            </a:r>
          </a:p>
          <a:p>
            <a:pPr>
              <a:defRPr/>
            </a:pPr>
            <a:r>
              <a:rPr lang="en-US"/>
              <a:t>Tuscarawas County </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Column1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45</c:v>
                </c:pt>
                <c:pt idx="1">
                  <c:v>40</c:v>
                </c:pt>
                <c:pt idx="2">
                  <c:v>38</c:v>
                </c:pt>
                <c:pt idx="3">
                  <c:v>49</c:v>
                </c:pt>
                <c:pt idx="4">
                  <c:v>48</c:v>
                </c:pt>
              </c:numCache>
            </c:numRef>
          </c:val>
          <c:smooth val="0"/>
          <c:extLst>
            <c:ext xmlns:c16="http://schemas.microsoft.com/office/drawing/2014/chart" uri="{C3380CC4-5D6E-409C-BE32-E72D297353CC}">
              <c16:uniqueId val="{00000000-891C-46C7-A3B8-69DFFCE22ABB}"/>
            </c:ext>
          </c:extLst>
        </c:ser>
        <c:dLbls>
          <c:dLblPos val="ctr"/>
          <c:showLegendKey val="0"/>
          <c:showVal val="1"/>
          <c:showCatName val="0"/>
          <c:showSerName val="0"/>
          <c:showPercent val="0"/>
          <c:showBubbleSize val="0"/>
        </c:dLbls>
        <c:marker val="1"/>
        <c:smooth val="0"/>
        <c:axId val="398239008"/>
        <c:axId val="398239400"/>
      </c:lineChart>
      <c:catAx>
        <c:axId val="3982390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98239400"/>
        <c:crosses val="autoZero"/>
        <c:auto val="1"/>
        <c:lblAlgn val="ctr"/>
        <c:lblOffset val="100"/>
        <c:noMultiLvlLbl val="0"/>
      </c:catAx>
      <c:valAx>
        <c:axId val="398239400"/>
        <c:scaling>
          <c:orientation val="minMax"/>
        </c:scaling>
        <c:delete val="1"/>
        <c:axPos val="l"/>
        <c:numFmt formatCode="General" sourceLinked="1"/>
        <c:majorTickMark val="none"/>
        <c:minorTickMark val="none"/>
        <c:tickLblPos val="nextTo"/>
        <c:crossAx val="3982390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Sheet1!$B$2:$B$6</c:f>
              <c:numCache>
                <c:formatCode>General</c:formatCode>
                <c:ptCount val="5"/>
                <c:pt idx="0">
                  <c:v>63</c:v>
                </c:pt>
                <c:pt idx="1">
                  <c:v>45</c:v>
                </c:pt>
                <c:pt idx="2">
                  <c:v>57</c:v>
                </c:pt>
                <c:pt idx="3">
                  <c:v>33</c:v>
                </c:pt>
                <c:pt idx="4">
                  <c:v>34</c:v>
                </c:pt>
              </c:numCache>
            </c:numRef>
          </c:val>
          <c:extLst>
            <c:ext xmlns:c16="http://schemas.microsoft.com/office/drawing/2014/chart" uri="{C3380CC4-5D6E-409C-BE32-E72D297353CC}">
              <c16:uniqueId val="{00000000-1389-44FB-8859-8EB6A7BC8373}"/>
            </c:ext>
          </c:extLst>
        </c:ser>
        <c:ser>
          <c:idx val="1"/>
          <c:order val="1"/>
          <c:tx>
            <c:strRef>
              <c:f>Sheet1!$C$1</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Sheet1!$C$2:$C$6</c:f>
              <c:numCache>
                <c:formatCode>General</c:formatCode>
                <c:ptCount val="5"/>
                <c:pt idx="0">
                  <c:v>71</c:v>
                </c:pt>
                <c:pt idx="1">
                  <c:v>31</c:v>
                </c:pt>
                <c:pt idx="2">
                  <c:v>46</c:v>
                </c:pt>
                <c:pt idx="3">
                  <c:v>31</c:v>
                </c:pt>
                <c:pt idx="4">
                  <c:v>41</c:v>
                </c:pt>
              </c:numCache>
            </c:numRef>
          </c:val>
          <c:extLst>
            <c:ext xmlns:c16="http://schemas.microsoft.com/office/drawing/2014/chart" uri="{C3380CC4-5D6E-409C-BE32-E72D297353CC}">
              <c16:uniqueId val="{00000001-1389-44FB-8859-8EB6A7BC8373}"/>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Sheet1!$D$2:$D$6</c:f>
              <c:numCache>
                <c:formatCode>General</c:formatCode>
                <c:ptCount val="5"/>
                <c:pt idx="0">
                  <c:v>69</c:v>
                </c:pt>
                <c:pt idx="1">
                  <c:v>21</c:v>
                </c:pt>
                <c:pt idx="2">
                  <c:v>34</c:v>
                </c:pt>
                <c:pt idx="3">
                  <c:v>37</c:v>
                </c:pt>
                <c:pt idx="4">
                  <c:v>42</c:v>
                </c:pt>
              </c:numCache>
            </c:numRef>
          </c:val>
          <c:extLst>
            <c:ext xmlns:c16="http://schemas.microsoft.com/office/drawing/2014/chart" uri="{C3380CC4-5D6E-409C-BE32-E72D297353CC}">
              <c16:uniqueId val="{00000002-1389-44FB-8859-8EB6A7BC8373}"/>
            </c:ext>
          </c:extLst>
        </c:ser>
        <c:ser>
          <c:idx val="3"/>
          <c:order val="3"/>
          <c:tx>
            <c:strRef>
              <c:f>Sheet1!$E$1</c:f>
              <c:strCache>
                <c:ptCount val="1"/>
                <c:pt idx="0">
                  <c:v>2018</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Sheet1!$E$2:$E$6</c:f>
              <c:numCache>
                <c:formatCode>General</c:formatCode>
                <c:ptCount val="5"/>
                <c:pt idx="0">
                  <c:v>69</c:v>
                </c:pt>
                <c:pt idx="1">
                  <c:v>52</c:v>
                </c:pt>
                <c:pt idx="2">
                  <c:v>43</c:v>
                </c:pt>
                <c:pt idx="3">
                  <c:v>38</c:v>
                </c:pt>
                <c:pt idx="4">
                  <c:v>38</c:v>
                </c:pt>
              </c:numCache>
            </c:numRef>
          </c:val>
          <c:extLst>
            <c:ext xmlns:c16="http://schemas.microsoft.com/office/drawing/2014/chart" uri="{C3380CC4-5D6E-409C-BE32-E72D297353CC}">
              <c16:uniqueId val="{00000003-1389-44FB-8859-8EB6A7BC8373}"/>
            </c:ext>
          </c:extLst>
        </c:ser>
        <c:ser>
          <c:idx val="4"/>
          <c:order val="4"/>
          <c:tx>
            <c:strRef>
              <c:f>Sheet1!$F$1</c:f>
              <c:strCache>
                <c:ptCount val="1"/>
                <c:pt idx="0">
                  <c:v>2019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Sheet1!$F$2:$F$6</c:f>
              <c:numCache>
                <c:formatCode>General</c:formatCode>
                <c:ptCount val="5"/>
                <c:pt idx="0">
                  <c:v>73</c:v>
                </c:pt>
                <c:pt idx="1">
                  <c:v>49</c:v>
                </c:pt>
                <c:pt idx="2">
                  <c:v>24</c:v>
                </c:pt>
                <c:pt idx="3">
                  <c:v>42</c:v>
                </c:pt>
                <c:pt idx="4">
                  <c:v>35</c:v>
                </c:pt>
              </c:numCache>
            </c:numRef>
          </c:val>
          <c:extLst>
            <c:ext xmlns:c16="http://schemas.microsoft.com/office/drawing/2014/chart" uri="{C3380CC4-5D6E-409C-BE32-E72D297353CC}">
              <c16:uniqueId val="{00000006-1389-44FB-8859-8EB6A7BC8373}"/>
            </c:ext>
          </c:extLst>
        </c:ser>
        <c:dLbls>
          <c:showLegendKey val="0"/>
          <c:showVal val="0"/>
          <c:showCatName val="0"/>
          <c:showSerName val="0"/>
          <c:showPercent val="0"/>
          <c:showBubbleSize val="0"/>
        </c:dLbls>
        <c:gapWidth val="267"/>
        <c:overlap val="-43"/>
        <c:axId val="398240184"/>
        <c:axId val="398240576"/>
      </c:barChart>
      <c:catAx>
        <c:axId val="3982401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98240576"/>
        <c:crosses val="autoZero"/>
        <c:auto val="1"/>
        <c:lblAlgn val="ctr"/>
        <c:lblOffset val="100"/>
        <c:noMultiLvlLbl val="0"/>
      </c:catAx>
      <c:valAx>
        <c:axId val="3982405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82401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41</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7</cp:revision>
  <cp:lastPrinted>2018-03-14T15:58:00Z</cp:lastPrinted>
  <dcterms:created xsi:type="dcterms:W3CDTF">2019-03-13T14:31:00Z</dcterms:created>
  <dcterms:modified xsi:type="dcterms:W3CDTF">2019-03-19T19:55:00Z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