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AF065" w14:textId="77777777" w:rsidR="00DC09EE" w:rsidRDefault="00EA2C9B" w:rsidP="003B2368">
      <w:r w:rsidRPr="006B088E">
        <w:rPr>
          <w:noProof/>
        </w:rPr>
        <w:drawing>
          <wp:anchor distT="0" distB="0" distL="114300" distR="114300" simplePos="0" relativeHeight="251659264" behindDoc="0" locked="0" layoutInCell="0" allowOverlap="1" wp14:anchorId="2D8B8CC4" wp14:editId="5DA3F592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10CEFB" wp14:editId="7DE1776E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E1D12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68FE2629" w14:textId="77777777"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14:paraId="790ADEF0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8.4pt;margin-top:671.95pt;width:97.6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AFA7BA" wp14:editId="66C272A5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09BFD" w14:textId="77777777"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B5093E" wp14:editId="58307F8A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48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799C02D" wp14:editId="406E5F88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DB7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53AE6F" wp14:editId="5657C3D8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7F0BE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14:paraId="7ADB6184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14:paraId="4D390382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tusccohd@odh.ohio.gov </w:t>
                            </w:r>
                          </w:p>
                          <w:p w14:paraId="1F486420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12.25pt;margin-top:671.95pt;width:171.0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tusccohd@odh.ohio.gov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1286A" wp14:editId="4778100C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3E4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C7646" wp14:editId="4D2241EE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48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64833E2" wp14:editId="0AFB3893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385C" id="Rectangle 6" o:spid="_x0000_s1026" style="position:absolute;margin-left:0;margin-top:630.55pt;width:468pt;height:95.9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62037" wp14:editId="7FFEBC63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F13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</w:p>
    <w:p w14:paraId="07E55BBD" w14:textId="77777777" w:rsidR="00EA2C9B" w:rsidRPr="006A378E" w:rsidRDefault="00EA2C9B" w:rsidP="006A378E">
      <w:pPr>
        <w:rPr>
          <w:sz w:val="24"/>
        </w:rPr>
      </w:pPr>
    </w:p>
    <w:p w14:paraId="04FD1DAF" w14:textId="77777777" w:rsidR="00EA2C9B" w:rsidRDefault="00720636" w:rsidP="00720636">
      <w:pPr>
        <w:jc w:val="center"/>
        <w:rPr>
          <w:rFonts w:ascii="Palatino Linotype" w:hAnsi="Palatino Linotype"/>
          <w:sz w:val="36"/>
          <w:szCs w:val="36"/>
          <w:u w:val="single"/>
        </w:rPr>
      </w:pPr>
      <w:r w:rsidRPr="00720636">
        <w:rPr>
          <w:rFonts w:ascii="Palatino Linotype" w:hAnsi="Palatino Linotype"/>
          <w:sz w:val="36"/>
          <w:szCs w:val="36"/>
          <w:u w:val="single"/>
        </w:rPr>
        <w:t>IRB Policy</w:t>
      </w:r>
    </w:p>
    <w:p w14:paraId="7D6862A4" w14:textId="77777777" w:rsidR="00720636" w:rsidRPr="00720636" w:rsidRDefault="00720636" w:rsidP="00720636">
      <w:pPr>
        <w:jc w:val="center"/>
        <w:rPr>
          <w:rFonts w:ascii="Palatino Linotype" w:hAnsi="Palatino Linotype"/>
          <w:sz w:val="36"/>
          <w:szCs w:val="36"/>
          <w:u w:val="single"/>
        </w:rPr>
      </w:pPr>
    </w:p>
    <w:p w14:paraId="289D23E4" w14:textId="77777777" w:rsidR="006A378E" w:rsidRPr="006A378E" w:rsidRDefault="006A378E" w:rsidP="006A378E">
      <w:pPr>
        <w:rPr>
          <w:rFonts w:ascii="Palatino Linotype" w:hAnsi="Palatino Linotype"/>
          <w:sz w:val="24"/>
        </w:rPr>
      </w:pPr>
      <w:r w:rsidRPr="006A378E">
        <w:rPr>
          <w:rFonts w:ascii="Palatino Linotype" w:hAnsi="Palatino Linotype"/>
          <w:sz w:val="24"/>
        </w:rPr>
        <w:t xml:space="preserve">The </w:t>
      </w:r>
      <w:r>
        <w:rPr>
          <w:rFonts w:ascii="Palatino Linotype" w:hAnsi="Palatino Linotype"/>
          <w:sz w:val="24"/>
        </w:rPr>
        <w:t>Tuscarawas</w:t>
      </w:r>
      <w:r w:rsidRPr="006A378E">
        <w:rPr>
          <w:rFonts w:ascii="Palatino Linotype" w:hAnsi="Palatino Linotype"/>
          <w:sz w:val="24"/>
        </w:rPr>
        <w:t xml:space="preserve"> County Health Department will not initiate research that</w:t>
      </w:r>
      <w:r>
        <w:rPr>
          <w:rFonts w:ascii="Palatino Linotype" w:hAnsi="Palatino Linotype"/>
          <w:sz w:val="24"/>
        </w:rPr>
        <w:t xml:space="preserve"> </w:t>
      </w:r>
      <w:r w:rsidRPr="006A378E">
        <w:rPr>
          <w:rFonts w:ascii="Palatino Linotype" w:hAnsi="Palatino Linotype"/>
          <w:sz w:val="24"/>
        </w:rPr>
        <w:t xml:space="preserve">involves human subjects. If another institution wishes to partner with the </w:t>
      </w:r>
      <w:r>
        <w:rPr>
          <w:rFonts w:ascii="Palatino Linotype" w:hAnsi="Palatino Linotype"/>
          <w:sz w:val="24"/>
        </w:rPr>
        <w:t xml:space="preserve">Tuscarawas </w:t>
      </w:r>
      <w:r w:rsidRPr="006A378E">
        <w:rPr>
          <w:rFonts w:ascii="Palatino Linotype" w:hAnsi="Palatino Linotype"/>
          <w:sz w:val="24"/>
        </w:rPr>
        <w:t>County Health</w:t>
      </w:r>
      <w:r>
        <w:rPr>
          <w:rFonts w:ascii="Palatino Linotype" w:hAnsi="Palatino Linotype"/>
          <w:sz w:val="24"/>
        </w:rPr>
        <w:t xml:space="preserve"> </w:t>
      </w:r>
      <w:r w:rsidRPr="006A378E">
        <w:rPr>
          <w:rFonts w:ascii="Palatino Linotype" w:hAnsi="Palatino Linotype"/>
          <w:sz w:val="24"/>
        </w:rPr>
        <w:t>Department in research involving human subjects, they must first obtain project approval through</w:t>
      </w:r>
      <w:r>
        <w:rPr>
          <w:rFonts w:ascii="Palatino Linotype" w:hAnsi="Palatino Linotype"/>
          <w:sz w:val="24"/>
        </w:rPr>
        <w:t xml:space="preserve"> </w:t>
      </w:r>
      <w:r w:rsidRPr="006A378E">
        <w:rPr>
          <w:rFonts w:ascii="Palatino Linotype" w:hAnsi="Palatino Linotype"/>
          <w:sz w:val="24"/>
        </w:rPr>
        <w:t>their own Institutional Review Board (IRB). The IRB must adhere to the policy guidance of the</w:t>
      </w:r>
      <w:r>
        <w:rPr>
          <w:rFonts w:ascii="Palatino Linotype" w:hAnsi="Palatino Linotype"/>
          <w:sz w:val="24"/>
        </w:rPr>
        <w:t xml:space="preserve"> </w:t>
      </w:r>
      <w:r w:rsidRPr="006A378E">
        <w:rPr>
          <w:rFonts w:ascii="Palatino Linotype" w:hAnsi="Palatino Linotype"/>
          <w:sz w:val="24"/>
        </w:rPr>
        <w:t>US Department of Health and Human Services Office for Human Research Protections</w:t>
      </w:r>
      <w:r>
        <w:rPr>
          <w:rFonts w:ascii="Palatino Linotype" w:hAnsi="Palatino Linotype"/>
          <w:sz w:val="24"/>
        </w:rPr>
        <w:t>.</w:t>
      </w:r>
    </w:p>
    <w:p w14:paraId="2F76B47A" w14:textId="77777777" w:rsidR="00EA2C9B" w:rsidRDefault="00EA2C9B" w:rsidP="005B7936">
      <w:pPr>
        <w:jc w:val="center"/>
        <w:rPr>
          <w:rFonts w:ascii="Palatino Linotype" w:hAnsi="Palatino Linotype"/>
          <w:b/>
          <w:sz w:val="24"/>
        </w:rPr>
      </w:pPr>
    </w:p>
    <w:p w14:paraId="77F66D35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43C86FA2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7B6F6A8C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7C576EBF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41409930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66418D65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7BDA360D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7D58932B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4A12E1F7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5173989F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5AB2E812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1C7DF25A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26C72B2E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41D05E4D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71BE7A99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33723C7D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40875975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237FB360" w14:textId="77777777" w:rsidR="006A378E" w:rsidRDefault="006A378E" w:rsidP="006A378E">
      <w:pPr>
        <w:rPr>
          <w:rFonts w:ascii="Palatino Linotype" w:hAnsi="Palatino Linotype"/>
          <w:b/>
          <w:sz w:val="24"/>
        </w:rPr>
      </w:pPr>
    </w:p>
    <w:p w14:paraId="7511237E" w14:textId="77777777" w:rsidR="006A378E" w:rsidRPr="006A378E" w:rsidRDefault="006A378E" w:rsidP="006A378E">
      <w:pPr>
        <w:rPr>
          <w:rFonts w:ascii="Palatino Linotype" w:hAnsi="Palatino Linotype"/>
          <w:szCs w:val="16"/>
        </w:rPr>
      </w:pPr>
      <w:r w:rsidRPr="006A378E">
        <w:rPr>
          <w:rFonts w:ascii="Palatino Linotype" w:hAnsi="Palatino Linotype"/>
          <w:szCs w:val="16"/>
        </w:rPr>
        <w:t>Updated: April 8, 2015 KS</w:t>
      </w:r>
    </w:p>
    <w:sectPr w:rsidR="006A378E" w:rsidRPr="006A378E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9B"/>
    <w:rsid w:val="001942F8"/>
    <w:rsid w:val="001E7A17"/>
    <w:rsid w:val="00213AAE"/>
    <w:rsid w:val="00383757"/>
    <w:rsid w:val="00391D1E"/>
    <w:rsid w:val="003B0848"/>
    <w:rsid w:val="003B2368"/>
    <w:rsid w:val="004179FC"/>
    <w:rsid w:val="0045558E"/>
    <w:rsid w:val="00457272"/>
    <w:rsid w:val="00467B91"/>
    <w:rsid w:val="004711A0"/>
    <w:rsid w:val="00492B78"/>
    <w:rsid w:val="005052C4"/>
    <w:rsid w:val="005B7936"/>
    <w:rsid w:val="006A378E"/>
    <w:rsid w:val="006B088E"/>
    <w:rsid w:val="00720636"/>
    <w:rsid w:val="00726210"/>
    <w:rsid w:val="00805046"/>
    <w:rsid w:val="00845A3E"/>
    <w:rsid w:val="00901000"/>
    <w:rsid w:val="00943A23"/>
    <w:rsid w:val="00A93734"/>
    <w:rsid w:val="00B969A7"/>
    <w:rsid w:val="00BC01EF"/>
    <w:rsid w:val="00C642DA"/>
    <w:rsid w:val="00C764D6"/>
    <w:rsid w:val="00CE66DA"/>
    <w:rsid w:val="00DB5E11"/>
    <w:rsid w:val="00DC09EE"/>
    <w:rsid w:val="00E40C7E"/>
    <w:rsid w:val="00E448F3"/>
    <w:rsid w:val="00EA2767"/>
    <w:rsid w:val="00EA2C9B"/>
    <w:rsid w:val="00F469B7"/>
    <w:rsid w:val="00FA62CF"/>
    <w:rsid w:val="00FB4A80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31F63277"/>
  <w15:docId w15:val="{A3D8820D-B486-49B7-9FB5-1A9E06E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keywords/>
  <cp:lastModifiedBy>Health Commissioner</cp:lastModifiedBy>
  <cp:revision>2</cp:revision>
  <cp:lastPrinted>2015-04-13T19:05:00Z</cp:lastPrinted>
  <dcterms:created xsi:type="dcterms:W3CDTF">2020-06-17T14:58:00Z</dcterms:created>
  <dcterms:modified xsi:type="dcterms:W3CDTF">2020-06-17T14:58:00Z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